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FE9E" w14:textId="77777777" w:rsidR="00C841CC" w:rsidRPr="00A77319" w:rsidRDefault="00C841CC" w:rsidP="00A77319">
      <w:pPr>
        <w:pStyle w:val="Ttulo6"/>
        <w:ind w:left="1418"/>
        <w:rPr>
          <w:rFonts w:ascii="Times New Roman" w:hAnsi="Times New Roman" w:cs="Times New Roman"/>
          <w:szCs w:val="24"/>
        </w:rPr>
      </w:pPr>
      <w:r w:rsidRPr="00A77319">
        <w:rPr>
          <w:rFonts w:ascii="Times New Roman" w:hAnsi="Times New Roman" w:cs="Times New Roman"/>
          <w:szCs w:val="24"/>
        </w:rPr>
        <w:t>LEI MUNICIPAL N.º 1.538/2.006 DE 22 DE NOVEMBRO DE 2.006.</w:t>
      </w:r>
    </w:p>
    <w:p w14:paraId="23B5C60B" w14:textId="77777777" w:rsidR="00C841CC" w:rsidRPr="00A77319" w:rsidRDefault="00C841CC" w:rsidP="00A77319">
      <w:pPr>
        <w:ind w:left="1418" w:right="-12"/>
        <w:jc w:val="both"/>
        <w:rPr>
          <w:b/>
          <w:sz w:val="24"/>
          <w:szCs w:val="24"/>
        </w:rPr>
      </w:pPr>
    </w:p>
    <w:p w14:paraId="0F7B5018" w14:textId="77777777" w:rsidR="00C841CC" w:rsidRPr="00A77319" w:rsidRDefault="00C841CC" w:rsidP="00A77319">
      <w:pPr>
        <w:pStyle w:val="Recuodecorpodetexto"/>
        <w:tabs>
          <w:tab w:val="left" w:pos="2835"/>
        </w:tabs>
        <w:ind w:left="1418" w:firstLine="0"/>
        <w:rPr>
          <w:rFonts w:ascii="Times New Roman" w:hAnsi="Times New Roman"/>
          <w:b/>
          <w:iCs/>
          <w:sz w:val="24"/>
          <w:szCs w:val="24"/>
        </w:rPr>
      </w:pPr>
      <w:r w:rsidRPr="00A77319">
        <w:rPr>
          <w:rFonts w:ascii="Times New Roman" w:hAnsi="Times New Roman"/>
          <w:b/>
          <w:iCs/>
          <w:sz w:val="24"/>
          <w:szCs w:val="24"/>
        </w:rPr>
        <w:t>AUTORIZA O PODER EXECUTIVO MUNICIPAL APROVAR O LOTEAMENTO URBANO “PÓLO COMERCIAL E RESIDENCIAL ROTA DO SOL – II ETAPA” E DÁ OUTRAS PROVIDÊNCIAS.</w:t>
      </w:r>
    </w:p>
    <w:p w14:paraId="3B4C914E" w14:textId="77777777" w:rsidR="00C841CC" w:rsidRPr="00A77319" w:rsidRDefault="00C841CC" w:rsidP="00A77319">
      <w:pPr>
        <w:ind w:left="1418" w:right="-12"/>
        <w:jc w:val="both"/>
        <w:rPr>
          <w:b/>
          <w:sz w:val="24"/>
          <w:szCs w:val="24"/>
        </w:rPr>
      </w:pPr>
    </w:p>
    <w:p w14:paraId="036F3049" w14:textId="77777777" w:rsidR="00C841CC" w:rsidRPr="00A77319" w:rsidRDefault="00C841CC" w:rsidP="00A77319">
      <w:pPr>
        <w:tabs>
          <w:tab w:val="left" w:pos="2835"/>
          <w:tab w:val="left" w:pos="7797"/>
        </w:tabs>
        <w:ind w:left="1418"/>
        <w:jc w:val="both"/>
        <w:rPr>
          <w:b/>
          <w:sz w:val="24"/>
          <w:szCs w:val="24"/>
        </w:rPr>
      </w:pPr>
      <w:r w:rsidRPr="00A77319">
        <w:rPr>
          <w:b/>
          <w:sz w:val="24"/>
          <w:szCs w:val="24"/>
        </w:rPr>
        <w:t>O SR. DILCEU ROSSATO, PREFEITO MUNICIPAL DE SORRISO, ESTADO DE MATO GROSSO, NO USO DE SUAS ATRIBUIÇÕES, CONFERIDAS POR LEI, FAZ SABER QUE A CÂMARA MUNICIPAL DE SORRISO APROVOU E ELE SANCIONA A SEGUINTE LEI:</w:t>
      </w:r>
    </w:p>
    <w:p w14:paraId="5B9C16EB" w14:textId="77777777" w:rsidR="00C841CC" w:rsidRPr="00A77319" w:rsidRDefault="00C841CC" w:rsidP="00A77319">
      <w:pPr>
        <w:pStyle w:val="Recuodecorpodetexto"/>
        <w:ind w:firstLine="0"/>
        <w:rPr>
          <w:rFonts w:ascii="Times New Roman" w:hAnsi="Times New Roman"/>
          <w:sz w:val="24"/>
          <w:szCs w:val="24"/>
        </w:rPr>
      </w:pPr>
    </w:p>
    <w:p w14:paraId="43C1B66E" w14:textId="77777777" w:rsidR="00A77319" w:rsidRDefault="00A77319" w:rsidP="00A77319">
      <w:pPr>
        <w:pStyle w:val="Textoembloco"/>
        <w:tabs>
          <w:tab w:val="left" w:pos="1701"/>
          <w:tab w:val="left" w:pos="7797"/>
        </w:tabs>
        <w:ind w:left="0" w:right="0" w:firstLine="0"/>
        <w:rPr>
          <w:rFonts w:ascii="Times New Roman" w:hAnsi="Times New Roman"/>
          <w:b/>
          <w:sz w:val="24"/>
          <w:szCs w:val="24"/>
        </w:rPr>
      </w:pPr>
    </w:p>
    <w:p w14:paraId="311EA4D3" w14:textId="42586ADA" w:rsidR="00C841CC" w:rsidRPr="00A77319" w:rsidRDefault="00C841CC" w:rsidP="00783539">
      <w:pPr>
        <w:pStyle w:val="Textoembloco"/>
        <w:tabs>
          <w:tab w:val="left" w:pos="1701"/>
          <w:tab w:val="left" w:pos="7797"/>
        </w:tabs>
        <w:ind w:left="0" w:right="0" w:firstLine="1418"/>
        <w:rPr>
          <w:rFonts w:ascii="Times New Roman" w:hAnsi="Times New Roman"/>
          <w:b/>
          <w:sz w:val="24"/>
          <w:szCs w:val="24"/>
        </w:rPr>
      </w:pPr>
      <w:r w:rsidRPr="00A77319">
        <w:rPr>
          <w:rFonts w:ascii="Times New Roman" w:hAnsi="Times New Roman"/>
          <w:b/>
          <w:iCs/>
          <w:sz w:val="24"/>
          <w:szCs w:val="24"/>
        </w:rPr>
        <w:t>Art.</w:t>
      </w:r>
      <w:r w:rsidR="00A77319">
        <w:rPr>
          <w:rFonts w:ascii="Times New Roman" w:hAnsi="Times New Roman"/>
          <w:b/>
          <w:iCs/>
          <w:sz w:val="24"/>
          <w:szCs w:val="24"/>
        </w:rPr>
        <w:t xml:space="preserve"> </w:t>
      </w:r>
      <w:r w:rsidRPr="00A77319">
        <w:rPr>
          <w:rFonts w:ascii="Times New Roman" w:hAnsi="Times New Roman"/>
          <w:b/>
          <w:iCs/>
          <w:sz w:val="24"/>
          <w:szCs w:val="24"/>
        </w:rPr>
        <w:t>1º</w:t>
      </w:r>
      <w:r w:rsidRPr="00A77319">
        <w:rPr>
          <w:rFonts w:ascii="Times New Roman" w:hAnsi="Times New Roman"/>
          <w:b/>
          <w:bCs/>
          <w:iCs/>
          <w:sz w:val="24"/>
          <w:szCs w:val="24"/>
        </w:rPr>
        <w:t xml:space="preserve"> - </w:t>
      </w:r>
      <w:r w:rsidRPr="00A77319">
        <w:rPr>
          <w:rFonts w:ascii="Times New Roman" w:hAnsi="Times New Roman"/>
          <w:bCs/>
          <w:iCs/>
          <w:sz w:val="24"/>
          <w:szCs w:val="24"/>
        </w:rPr>
        <w:t xml:space="preserve">Fica o Poder Executivo Municipal autorizado aprovar o </w:t>
      </w:r>
      <w:r w:rsidRPr="00A77319">
        <w:rPr>
          <w:rFonts w:ascii="Times New Roman" w:hAnsi="Times New Roman"/>
          <w:iCs/>
          <w:sz w:val="24"/>
          <w:szCs w:val="24"/>
        </w:rPr>
        <w:t xml:space="preserve">Loteamento Urbano “Pólo Comercial e Residencial Rota do Sol – II Etapa”, com área total de </w:t>
      </w:r>
      <w:smartTag w:uri="urn:schemas-microsoft-com:office:smarttags" w:element="metricconverter">
        <w:smartTagPr>
          <w:attr w:name="ProductID" w:val="968.000 mﾲ"/>
          <w:attr w:name="st" w:val="on"/>
        </w:smartTagPr>
        <w:r w:rsidRPr="00A77319">
          <w:rPr>
            <w:rFonts w:ascii="Times New Roman" w:hAnsi="Times New Roman"/>
            <w:iCs/>
            <w:sz w:val="24"/>
            <w:szCs w:val="24"/>
          </w:rPr>
          <w:t>968.000 m²</w:t>
        </w:r>
      </w:smartTag>
      <w:r w:rsidRPr="00A77319">
        <w:rPr>
          <w:rFonts w:ascii="Times New Roman" w:hAnsi="Times New Roman"/>
          <w:iCs/>
          <w:sz w:val="24"/>
          <w:szCs w:val="24"/>
        </w:rPr>
        <w:t xml:space="preserve"> (novecentos e sessenta e oito mil metros quadrados) </w:t>
      </w:r>
      <w:r w:rsidRPr="00A77319">
        <w:rPr>
          <w:rFonts w:ascii="Times New Roman" w:hAnsi="Times New Roman"/>
          <w:bCs/>
          <w:iCs/>
          <w:sz w:val="24"/>
          <w:szCs w:val="24"/>
        </w:rPr>
        <w:t>de propriedade da Pôr do Sol Empreendimentos Imobiliários Ltda, localizado na seqüência da Av. Blumenau, Margem Esquerda do Córrego Gonçalves, conforme matrícula n.º 0887 do Cartório de Registro de Imóveis de Sorriso, na cidade de Sorriso.</w:t>
      </w:r>
    </w:p>
    <w:p w14:paraId="5090F4FA" w14:textId="77777777" w:rsidR="00A77319" w:rsidRDefault="00A77319" w:rsidP="00783539">
      <w:pPr>
        <w:ind w:firstLine="1418"/>
        <w:jc w:val="both"/>
        <w:rPr>
          <w:b/>
          <w:iCs/>
          <w:sz w:val="24"/>
          <w:szCs w:val="24"/>
        </w:rPr>
      </w:pPr>
    </w:p>
    <w:p w14:paraId="20AD0A46" w14:textId="49EDC982" w:rsidR="00C841CC" w:rsidRPr="00A77319" w:rsidRDefault="00C841CC" w:rsidP="00783539">
      <w:pPr>
        <w:ind w:firstLine="1418"/>
        <w:jc w:val="both"/>
        <w:rPr>
          <w:bCs/>
          <w:iCs/>
          <w:sz w:val="24"/>
          <w:szCs w:val="24"/>
        </w:rPr>
      </w:pPr>
      <w:r w:rsidRPr="00A77319">
        <w:rPr>
          <w:b/>
          <w:iCs/>
          <w:sz w:val="24"/>
          <w:szCs w:val="24"/>
        </w:rPr>
        <w:t>Art.</w:t>
      </w:r>
      <w:r w:rsidR="00A77319">
        <w:rPr>
          <w:b/>
          <w:iCs/>
          <w:sz w:val="24"/>
          <w:szCs w:val="24"/>
        </w:rPr>
        <w:t xml:space="preserve"> </w:t>
      </w:r>
      <w:r w:rsidRPr="00A77319">
        <w:rPr>
          <w:b/>
          <w:iCs/>
          <w:sz w:val="24"/>
          <w:szCs w:val="24"/>
        </w:rPr>
        <w:t>2º</w:t>
      </w:r>
      <w:r w:rsidRPr="00A77319">
        <w:rPr>
          <w:iCs/>
          <w:sz w:val="24"/>
          <w:szCs w:val="24"/>
        </w:rPr>
        <w:t xml:space="preserve"> </w:t>
      </w:r>
      <w:r w:rsidRPr="00A77319">
        <w:rPr>
          <w:bCs/>
          <w:iCs/>
          <w:sz w:val="24"/>
          <w:szCs w:val="24"/>
        </w:rPr>
        <w:t xml:space="preserve">- O Loteamento </w:t>
      </w:r>
      <w:r w:rsidRPr="00A77319">
        <w:rPr>
          <w:iCs/>
          <w:sz w:val="24"/>
          <w:szCs w:val="24"/>
        </w:rPr>
        <w:t>Urbano “Pólo Comercial e Residencial Rota do Sol – II Etapa”</w:t>
      </w:r>
      <w:r w:rsidRPr="00A77319">
        <w:rPr>
          <w:bCs/>
          <w:iCs/>
          <w:sz w:val="24"/>
          <w:szCs w:val="24"/>
        </w:rPr>
        <w:t xml:space="preserve"> apresenta os seguintes limites e confrontações:</w:t>
      </w:r>
    </w:p>
    <w:p w14:paraId="48D02B94" w14:textId="77777777" w:rsidR="00A77319" w:rsidRDefault="00A77319" w:rsidP="00783539">
      <w:pPr>
        <w:ind w:firstLine="1418"/>
        <w:jc w:val="both"/>
        <w:rPr>
          <w:sz w:val="24"/>
          <w:szCs w:val="24"/>
        </w:rPr>
      </w:pPr>
    </w:p>
    <w:p w14:paraId="45FA31EA" w14:textId="641305BE" w:rsidR="00C841CC" w:rsidRPr="00A77319" w:rsidRDefault="00C841CC" w:rsidP="00783539">
      <w:pPr>
        <w:ind w:firstLine="1418"/>
        <w:jc w:val="both"/>
        <w:rPr>
          <w:sz w:val="24"/>
          <w:szCs w:val="24"/>
        </w:rPr>
      </w:pPr>
      <w:r w:rsidRPr="00A77319">
        <w:rPr>
          <w:sz w:val="24"/>
          <w:szCs w:val="24"/>
        </w:rPr>
        <w:t xml:space="preserve">“O MP-1 cravado junto à margem esquerda do Córrego Gonçalves, comum com o marco divisório das terras de Alcino </w:t>
      </w:r>
      <w:proofErr w:type="spellStart"/>
      <w:r w:rsidRPr="00A77319">
        <w:rPr>
          <w:sz w:val="24"/>
          <w:szCs w:val="24"/>
        </w:rPr>
        <w:t>Manfroi</w:t>
      </w:r>
      <w:proofErr w:type="spellEnd"/>
      <w:r w:rsidRPr="00A77319">
        <w:rPr>
          <w:sz w:val="24"/>
          <w:szCs w:val="24"/>
        </w:rPr>
        <w:t xml:space="preserve">; deste marco, segue com uma linha reta ao rumo magnético de 50º10’SW e distância de </w:t>
      </w:r>
      <w:smartTag w:uri="urn:schemas-microsoft-com:office:smarttags" w:element="metricconverter">
        <w:smartTagPr>
          <w:attr w:name="ProductID" w:val="2.260,00 metros"/>
          <w:attr w:name="st" w:val="on"/>
        </w:smartTagPr>
        <w:r w:rsidRPr="00A77319">
          <w:rPr>
            <w:sz w:val="24"/>
            <w:szCs w:val="24"/>
          </w:rPr>
          <w:t>2.260,00 metros</w:t>
        </w:r>
      </w:smartTag>
      <w:r w:rsidRPr="00A77319">
        <w:rPr>
          <w:sz w:val="24"/>
          <w:szCs w:val="24"/>
        </w:rPr>
        <w:t xml:space="preserve">, dividindo com terras de Alcino </w:t>
      </w:r>
      <w:proofErr w:type="spellStart"/>
      <w:r w:rsidRPr="00A77319">
        <w:rPr>
          <w:sz w:val="24"/>
          <w:szCs w:val="24"/>
        </w:rPr>
        <w:t>Manfroi</w:t>
      </w:r>
      <w:proofErr w:type="spellEnd"/>
      <w:r w:rsidRPr="00A77319">
        <w:rPr>
          <w:sz w:val="24"/>
          <w:szCs w:val="24"/>
        </w:rPr>
        <w:t xml:space="preserve">, onde foi cravado o MP-2, à margem de uma estrada vicinal; deste marco, segue pela estrada vicinal ao rumo magnético de 39º50’NW e a distância de </w:t>
      </w:r>
      <w:smartTag w:uri="urn:schemas-microsoft-com:office:smarttags" w:element="metricconverter">
        <w:smartTagPr>
          <w:attr w:name="ProductID" w:val="400,00 metros"/>
          <w:attr w:name="st" w:val="on"/>
        </w:smartTagPr>
        <w:r w:rsidRPr="00A77319">
          <w:rPr>
            <w:sz w:val="24"/>
            <w:szCs w:val="24"/>
          </w:rPr>
          <w:t>400,00 metros</w:t>
        </w:r>
      </w:smartTag>
      <w:r w:rsidRPr="00A77319">
        <w:rPr>
          <w:sz w:val="24"/>
          <w:szCs w:val="24"/>
        </w:rPr>
        <w:t xml:space="preserve">, onde foi cravado o MP-3; deste marco, deflete á direita ao rumo magnético de 50º10’WE e a distância de </w:t>
      </w:r>
      <w:smartTag w:uri="urn:schemas-microsoft-com:office:smarttags" w:element="metricconverter">
        <w:smartTagPr>
          <w:attr w:name="ProductID" w:val="2.680,00 metros"/>
          <w:attr w:name="st" w:val="on"/>
        </w:smartTagPr>
        <w:r w:rsidRPr="00A77319">
          <w:rPr>
            <w:sz w:val="24"/>
            <w:szCs w:val="24"/>
          </w:rPr>
          <w:t>2.680,00 metros</w:t>
        </w:r>
      </w:smartTag>
      <w:r w:rsidRPr="00A77319">
        <w:rPr>
          <w:sz w:val="24"/>
          <w:szCs w:val="24"/>
        </w:rPr>
        <w:t xml:space="preserve">, dividindo com terras de Osmar </w:t>
      </w:r>
      <w:proofErr w:type="spellStart"/>
      <w:r w:rsidRPr="00A77319">
        <w:rPr>
          <w:sz w:val="24"/>
          <w:szCs w:val="24"/>
        </w:rPr>
        <w:t>Posser</w:t>
      </w:r>
      <w:proofErr w:type="spellEnd"/>
      <w:r w:rsidRPr="00A77319">
        <w:rPr>
          <w:sz w:val="24"/>
          <w:szCs w:val="24"/>
        </w:rPr>
        <w:t xml:space="preserve">, onde foi cravado o MP-4, à margem esquerda do Córrego Gonçalves, deste marco segue pela margem esquerda do referido Córrego acima, em vários rumos e distância de </w:t>
      </w:r>
      <w:smartTag w:uri="urn:schemas-microsoft-com:office:smarttags" w:element="metricconverter">
        <w:smartTagPr>
          <w:attr w:name="ProductID" w:val="700,00 metros"/>
          <w:attr w:name="st" w:val="on"/>
        </w:smartTagPr>
        <w:r w:rsidRPr="00A77319">
          <w:rPr>
            <w:sz w:val="24"/>
            <w:szCs w:val="24"/>
          </w:rPr>
          <w:t>700,00 metros</w:t>
        </w:r>
      </w:smartTag>
      <w:r w:rsidRPr="00A77319">
        <w:rPr>
          <w:sz w:val="24"/>
          <w:szCs w:val="24"/>
        </w:rPr>
        <w:t>, onde foi cravado o MP-1, que foi considerado o marco inicial do presente memorial. “</w:t>
      </w:r>
    </w:p>
    <w:p w14:paraId="1CF27922" w14:textId="77777777" w:rsidR="00A77319" w:rsidRDefault="00A77319" w:rsidP="00783539">
      <w:pPr>
        <w:ind w:firstLine="1418"/>
        <w:jc w:val="both"/>
        <w:rPr>
          <w:b/>
          <w:iCs/>
          <w:sz w:val="24"/>
          <w:szCs w:val="24"/>
        </w:rPr>
      </w:pPr>
    </w:p>
    <w:p w14:paraId="3B265578" w14:textId="60056482" w:rsidR="00C841CC" w:rsidRPr="00A77319" w:rsidRDefault="00C841CC" w:rsidP="00783539">
      <w:pPr>
        <w:ind w:firstLine="1418"/>
        <w:jc w:val="both"/>
        <w:rPr>
          <w:sz w:val="24"/>
          <w:szCs w:val="24"/>
        </w:rPr>
      </w:pPr>
      <w:r w:rsidRPr="00A77319">
        <w:rPr>
          <w:b/>
          <w:iCs/>
          <w:sz w:val="24"/>
          <w:szCs w:val="24"/>
        </w:rPr>
        <w:t>Art.</w:t>
      </w:r>
      <w:r w:rsidR="00A77319">
        <w:rPr>
          <w:b/>
          <w:iCs/>
          <w:sz w:val="24"/>
          <w:szCs w:val="24"/>
        </w:rPr>
        <w:t xml:space="preserve"> </w:t>
      </w:r>
      <w:r w:rsidRPr="00A77319">
        <w:rPr>
          <w:b/>
          <w:iCs/>
          <w:sz w:val="24"/>
          <w:szCs w:val="24"/>
        </w:rPr>
        <w:t>3º</w:t>
      </w:r>
      <w:r w:rsidRPr="00A77319">
        <w:rPr>
          <w:b/>
          <w:bCs/>
          <w:iCs/>
          <w:sz w:val="24"/>
          <w:szCs w:val="24"/>
        </w:rPr>
        <w:t xml:space="preserve"> - </w:t>
      </w:r>
      <w:r w:rsidRPr="00A77319">
        <w:rPr>
          <w:sz w:val="24"/>
          <w:szCs w:val="24"/>
        </w:rPr>
        <w:t>As áreas públicas, que p</w:t>
      </w:r>
      <w:r w:rsidRPr="00A77319">
        <w:rPr>
          <w:bCs/>
          <w:iCs/>
          <w:sz w:val="24"/>
          <w:szCs w:val="24"/>
        </w:rPr>
        <w:t>assam a fazer parte do patrimônio Municipal,</w:t>
      </w:r>
      <w:r w:rsidRPr="00A77319">
        <w:rPr>
          <w:sz w:val="24"/>
          <w:szCs w:val="24"/>
        </w:rPr>
        <w:t xml:space="preserve"> com um total de 39.473,61m², subdividem-se em:</w:t>
      </w:r>
    </w:p>
    <w:p w14:paraId="1D862822" w14:textId="77777777" w:rsidR="00A77319" w:rsidRDefault="00A77319" w:rsidP="00783539">
      <w:pPr>
        <w:ind w:firstLine="1418"/>
        <w:jc w:val="both"/>
        <w:rPr>
          <w:sz w:val="24"/>
          <w:szCs w:val="24"/>
        </w:rPr>
      </w:pPr>
    </w:p>
    <w:p w14:paraId="2E7E57E4" w14:textId="1D1DDBCE" w:rsidR="00C841CC" w:rsidRPr="00A77319" w:rsidRDefault="00C841CC" w:rsidP="00783539">
      <w:pPr>
        <w:ind w:firstLine="1418"/>
        <w:jc w:val="both"/>
        <w:rPr>
          <w:sz w:val="24"/>
          <w:szCs w:val="24"/>
        </w:rPr>
      </w:pPr>
      <w:r w:rsidRPr="00A77319">
        <w:rPr>
          <w:sz w:val="24"/>
          <w:szCs w:val="24"/>
        </w:rPr>
        <w:t xml:space="preserve">a) Quadra 65 </w:t>
      </w:r>
      <w:proofErr w:type="gramStart"/>
      <w:r w:rsidRPr="00A77319">
        <w:rPr>
          <w:sz w:val="24"/>
          <w:szCs w:val="24"/>
        </w:rPr>
        <w:t>( Lote</w:t>
      </w:r>
      <w:proofErr w:type="gramEnd"/>
      <w:r w:rsidRPr="00A77319">
        <w:rPr>
          <w:sz w:val="24"/>
          <w:szCs w:val="24"/>
        </w:rPr>
        <w:t xml:space="preserve"> 01 ) – 13.500,00m²;</w:t>
      </w:r>
    </w:p>
    <w:p w14:paraId="3FFE8B10" w14:textId="77777777" w:rsidR="00C841CC" w:rsidRPr="00A77319" w:rsidRDefault="00C841CC" w:rsidP="00783539">
      <w:pPr>
        <w:ind w:firstLine="1418"/>
        <w:jc w:val="both"/>
        <w:rPr>
          <w:sz w:val="24"/>
          <w:szCs w:val="24"/>
        </w:rPr>
      </w:pPr>
      <w:r w:rsidRPr="00A77319">
        <w:rPr>
          <w:sz w:val="24"/>
          <w:szCs w:val="24"/>
        </w:rPr>
        <w:t xml:space="preserve">b) Quadra 66 </w:t>
      </w:r>
      <w:proofErr w:type="gramStart"/>
      <w:r w:rsidRPr="00A77319">
        <w:rPr>
          <w:sz w:val="24"/>
          <w:szCs w:val="24"/>
        </w:rPr>
        <w:t>( Lote</w:t>
      </w:r>
      <w:proofErr w:type="gramEnd"/>
      <w:r w:rsidRPr="00A77319">
        <w:rPr>
          <w:sz w:val="24"/>
          <w:szCs w:val="24"/>
        </w:rPr>
        <w:t xml:space="preserve"> 05 ) – 14.400,00m²;</w:t>
      </w:r>
    </w:p>
    <w:p w14:paraId="2329B85C" w14:textId="77777777" w:rsidR="00C841CC" w:rsidRPr="00A77319" w:rsidRDefault="00C841CC" w:rsidP="00783539">
      <w:pPr>
        <w:ind w:firstLine="1418"/>
        <w:jc w:val="both"/>
        <w:rPr>
          <w:sz w:val="24"/>
          <w:szCs w:val="24"/>
        </w:rPr>
      </w:pPr>
      <w:r w:rsidRPr="00A77319">
        <w:rPr>
          <w:sz w:val="24"/>
          <w:szCs w:val="24"/>
        </w:rPr>
        <w:t xml:space="preserve">c) Rotatória Principal </w:t>
      </w:r>
      <w:proofErr w:type="gramStart"/>
      <w:r w:rsidRPr="00A77319">
        <w:rPr>
          <w:sz w:val="24"/>
          <w:szCs w:val="24"/>
        </w:rPr>
        <w:t>( 1</w:t>
      </w:r>
      <w:proofErr w:type="gramEnd"/>
      <w:r w:rsidRPr="00A77319">
        <w:rPr>
          <w:sz w:val="24"/>
          <w:szCs w:val="24"/>
        </w:rPr>
        <w:t xml:space="preserve"> x Ø120,00m );</w:t>
      </w:r>
    </w:p>
    <w:p w14:paraId="12926935" w14:textId="77777777" w:rsidR="00C841CC" w:rsidRPr="00A77319" w:rsidRDefault="00C841CC" w:rsidP="00783539">
      <w:pPr>
        <w:ind w:firstLine="1418"/>
        <w:jc w:val="both"/>
        <w:rPr>
          <w:sz w:val="24"/>
          <w:szCs w:val="24"/>
        </w:rPr>
      </w:pPr>
      <w:r w:rsidRPr="00A77319">
        <w:rPr>
          <w:sz w:val="24"/>
          <w:szCs w:val="24"/>
        </w:rPr>
        <w:t>6.014,71m² (somando com a 1ª Etapa um total de 11.309,73m²);</w:t>
      </w:r>
    </w:p>
    <w:p w14:paraId="15DACA2F" w14:textId="77777777" w:rsidR="00C841CC" w:rsidRPr="00A77319" w:rsidRDefault="00C841CC" w:rsidP="00783539">
      <w:pPr>
        <w:ind w:firstLine="1418"/>
        <w:jc w:val="both"/>
        <w:rPr>
          <w:sz w:val="24"/>
          <w:szCs w:val="24"/>
        </w:rPr>
      </w:pPr>
      <w:r w:rsidRPr="00A77319">
        <w:rPr>
          <w:sz w:val="24"/>
          <w:szCs w:val="24"/>
        </w:rPr>
        <w:t xml:space="preserve">d) Rotatórias Secundárias </w:t>
      </w:r>
      <w:proofErr w:type="gramStart"/>
      <w:r w:rsidRPr="00A77319">
        <w:rPr>
          <w:sz w:val="24"/>
          <w:szCs w:val="24"/>
        </w:rPr>
        <w:t>( 5</w:t>
      </w:r>
      <w:proofErr w:type="gramEnd"/>
      <w:r w:rsidRPr="00A77319">
        <w:rPr>
          <w:sz w:val="24"/>
          <w:szCs w:val="24"/>
        </w:rPr>
        <w:t xml:space="preserve"> x Ø27,00m)</w:t>
      </w:r>
    </w:p>
    <w:p w14:paraId="058B1BD5" w14:textId="77777777" w:rsidR="00C841CC" w:rsidRPr="00A77319" w:rsidRDefault="00C841CC" w:rsidP="00783539">
      <w:pPr>
        <w:ind w:firstLine="1418"/>
        <w:jc w:val="both"/>
        <w:rPr>
          <w:sz w:val="24"/>
          <w:szCs w:val="24"/>
        </w:rPr>
      </w:pPr>
      <w:r w:rsidRPr="00A77319">
        <w:rPr>
          <w:sz w:val="24"/>
          <w:szCs w:val="24"/>
        </w:rPr>
        <w:t>5.558,90m² (somando com a 1ª Etapa um total de 9.728,86m²).</w:t>
      </w:r>
    </w:p>
    <w:p w14:paraId="44B77B0B" w14:textId="77777777" w:rsidR="00C841CC" w:rsidRPr="00A77319" w:rsidRDefault="00C841CC" w:rsidP="00783539">
      <w:pPr>
        <w:ind w:firstLine="1418"/>
        <w:jc w:val="both"/>
        <w:rPr>
          <w:sz w:val="24"/>
          <w:szCs w:val="24"/>
        </w:rPr>
      </w:pPr>
    </w:p>
    <w:p w14:paraId="4DF82578" w14:textId="55A96E9D" w:rsidR="00C841CC" w:rsidRPr="00A77319" w:rsidRDefault="00C841CC" w:rsidP="00783539">
      <w:pPr>
        <w:ind w:firstLine="1418"/>
        <w:jc w:val="both"/>
        <w:rPr>
          <w:sz w:val="24"/>
          <w:szCs w:val="24"/>
        </w:rPr>
      </w:pPr>
      <w:r w:rsidRPr="00A77319">
        <w:rPr>
          <w:b/>
          <w:sz w:val="24"/>
          <w:szCs w:val="24"/>
        </w:rPr>
        <w:t>Art.</w:t>
      </w:r>
      <w:r w:rsidR="00A77319">
        <w:rPr>
          <w:b/>
          <w:sz w:val="24"/>
          <w:szCs w:val="24"/>
        </w:rPr>
        <w:t xml:space="preserve"> </w:t>
      </w:r>
      <w:r w:rsidRPr="00A77319">
        <w:rPr>
          <w:b/>
          <w:sz w:val="24"/>
          <w:szCs w:val="24"/>
        </w:rPr>
        <w:t xml:space="preserve">4º </w:t>
      </w:r>
      <w:r w:rsidRPr="00A77319">
        <w:rPr>
          <w:sz w:val="24"/>
          <w:szCs w:val="24"/>
        </w:rPr>
        <w:t xml:space="preserve">- O loteamento possui </w:t>
      </w:r>
      <w:smartTag w:uri="urn:schemas-microsoft-com:office:smarttags" w:element="metricconverter">
        <w:smartTagPr>
          <w:attr w:name="ProductID" w:val="51.438,58 mﾲ"/>
          <w:attr w:name="st" w:val="on"/>
        </w:smartTagPr>
        <w:r w:rsidRPr="00A77319">
          <w:rPr>
            <w:sz w:val="24"/>
            <w:szCs w:val="24"/>
          </w:rPr>
          <w:t>51.438,58 m²</w:t>
        </w:r>
      </w:smartTag>
      <w:r w:rsidRPr="00A77319">
        <w:rPr>
          <w:sz w:val="24"/>
          <w:szCs w:val="24"/>
        </w:rPr>
        <w:t xml:space="preserve"> de área verde, correspondem à 5,314% da área total, com vegetação nativa, com a seguinte descrição: </w:t>
      </w:r>
    </w:p>
    <w:p w14:paraId="43C24994" w14:textId="77777777" w:rsidR="00C841CC" w:rsidRPr="00A77319" w:rsidRDefault="00C841CC" w:rsidP="00783539">
      <w:pPr>
        <w:ind w:firstLine="1418"/>
        <w:jc w:val="both"/>
        <w:rPr>
          <w:sz w:val="24"/>
          <w:szCs w:val="24"/>
        </w:rPr>
      </w:pPr>
    </w:p>
    <w:p w14:paraId="0F8D9C91" w14:textId="77777777" w:rsidR="00C841CC" w:rsidRPr="00A77319" w:rsidRDefault="00C841CC" w:rsidP="00783539">
      <w:pPr>
        <w:ind w:firstLine="1418"/>
        <w:jc w:val="both"/>
        <w:rPr>
          <w:sz w:val="24"/>
          <w:szCs w:val="24"/>
        </w:rPr>
      </w:pPr>
      <w:r w:rsidRPr="00A77319">
        <w:rPr>
          <w:sz w:val="24"/>
          <w:szCs w:val="24"/>
        </w:rPr>
        <w:t xml:space="preserve">“A sudoeste possui 277,00m, sendo 12,00m para a Rua H e 265,00m para parte do lote 13 e para os lotes 14,15,16, 17, 18, 19, 20, 21, 22, 23, 24, 25, 26, 27, 28, 29 e 30 da Quadra 82; a noroeste possui 477,49m, sendo 224,28m para os lotes 03,04, 05, 06, 07, 08, 09, 10, 11,12 e parte do lote 13 da Quadra 82, e 253,21m para a </w:t>
      </w:r>
      <w:proofErr w:type="spellStart"/>
      <w:r w:rsidRPr="00A77319">
        <w:rPr>
          <w:sz w:val="24"/>
          <w:szCs w:val="24"/>
        </w:rPr>
        <w:t>Àrea</w:t>
      </w:r>
      <w:proofErr w:type="spellEnd"/>
      <w:r w:rsidRPr="00A77319">
        <w:rPr>
          <w:sz w:val="24"/>
          <w:szCs w:val="24"/>
        </w:rPr>
        <w:t xml:space="preserve"> Verde da  1ª Etapa do Loteamento Rota do Sol; a noroeste possui 622,00m para Área de reserva permanente do Córrego Gonçalves; e a sudeste possui 35,00m divisando com as terras de Alcino </w:t>
      </w:r>
      <w:proofErr w:type="spellStart"/>
      <w:r w:rsidRPr="00A77319">
        <w:rPr>
          <w:sz w:val="24"/>
          <w:szCs w:val="24"/>
        </w:rPr>
        <w:t>Mafroi</w:t>
      </w:r>
      <w:proofErr w:type="spellEnd"/>
      <w:r w:rsidRPr="00A77319">
        <w:rPr>
          <w:sz w:val="24"/>
          <w:szCs w:val="24"/>
        </w:rPr>
        <w:t>, fechando assim o perímetro.”</w:t>
      </w:r>
    </w:p>
    <w:p w14:paraId="46BC2C6F" w14:textId="77777777" w:rsidR="00C841CC" w:rsidRPr="00A77319" w:rsidRDefault="00C841CC" w:rsidP="00783539">
      <w:pPr>
        <w:ind w:firstLine="1418"/>
        <w:jc w:val="both"/>
        <w:rPr>
          <w:b/>
          <w:sz w:val="24"/>
          <w:szCs w:val="24"/>
        </w:rPr>
      </w:pPr>
    </w:p>
    <w:p w14:paraId="3C017C49" w14:textId="287468BD" w:rsidR="00C841CC" w:rsidRPr="00A77319" w:rsidRDefault="00C841CC" w:rsidP="00783539">
      <w:pPr>
        <w:pStyle w:val="Recuodecorpodetexto"/>
        <w:ind w:firstLine="1418"/>
        <w:rPr>
          <w:rFonts w:ascii="Times New Roman" w:hAnsi="Times New Roman"/>
          <w:bCs/>
          <w:iCs/>
          <w:sz w:val="24"/>
          <w:szCs w:val="24"/>
        </w:rPr>
      </w:pPr>
      <w:r w:rsidRPr="00A77319">
        <w:rPr>
          <w:rFonts w:ascii="Times New Roman" w:hAnsi="Times New Roman"/>
          <w:b/>
          <w:iCs/>
          <w:sz w:val="24"/>
          <w:szCs w:val="24"/>
        </w:rPr>
        <w:t>Art.</w:t>
      </w:r>
      <w:r w:rsidR="00A77319">
        <w:rPr>
          <w:rFonts w:ascii="Times New Roman" w:hAnsi="Times New Roman"/>
          <w:b/>
          <w:iCs/>
          <w:sz w:val="24"/>
          <w:szCs w:val="24"/>
        </w:rPr>
        <w:t xml:space="preserve"> </w:t>
      </w:r>
      <w:r w:rsidRPr="00A77319">
        <w:rPr>
          <w:rFonts w:ascii="Times New Roman" w:hAnsi="Times New Roman"/>
          <w:b/>
          <w:iCs/>
          <w:sz w:val="24"/>
          <w:szCs w:val="24"/>
        </w:rPr>
        <w:t>5º</w:t>
      </w:r>
      <w:r w:rsidRPr="00A77319">
        <w:rPr>
          <w:rFonts w:ascii="Times New Roman" w:hAnsi="Times New Roman"/>
          <w:b/>
          <w:bCs/>
          <w:iCs/>
          <w:sz w:val="24"/>
          <w:szCs w:val="24"/>
        </w:rPr>
        <w:t xml:space="preserve"> - </w:t>
      </w:r>
      <w:r w:rsidRPr="00A77319">
        <w:rPr>
          <w:rFonts w:ascii="Times New Roman" w:hAnsi="Times New Roman"/>
          <w:bCs/>
          <w:iCs/>
          <w:sz w:val="24"/>
          <w:szCs w:val="24"/>
        </w:rPr>
        <w:t xml:space="preserve">O Loteamento </w:t>
      </w:r>
      <w:r w:rsidRPr="00A77319">
        <w:rPr>
          <w:rFonts w:ascii="Times New Roman" w:hAnsi="Times New Roman"/>
          <w:iCs/>
          <w:sz w:val="24"/>
          <w:szCs w:val="24"/>
        </w:rPr>
        <w:t>Urbano “Pólo Comercial e Residencial Rota do Sol – II Etapa”</w:t>
      </w:r>
      <w:r w:rsidRPr="00A77319">
        <w:rPr>
          <w:rFonts w:ascii="Times New Roman" w:hAnsi="Times New Roman"/>
          <w:bCs/>
          <w:iCs/>
          <w:sz w:val="24"/>
          <w:szCs w:val="24"/>
        </w:rPr>
        <w:t xml:space="preserve"> terá a sua estruturação conforme memoriais descritivos anexos e aprovados pelo Departamento de Engenharia, que fazem parte desta Lei.</w:t>
      </w:r>
    </w:p>
    <w:p w14:paraId="2009CDD2" w14:textId="77777777" w:rsidR="00C841CC" w:rsidRPr="00A77319" w:rsidRDefault="00C841CC" w:rsidP="00783539">
      <w:pPr>
        <w:pStyle w:val="Recuodecorpodetexto"/>
        <w:ind w:firstLine="1418"/>
        <w:rPr>
          <w:rFonts w:ascii="Times New Roman" w:hAnsi="Times New Roman"/>
          <w:b/>
          <w:bCs/>
          <w:iCs/>
          <w:sz w:val="24"/>
          <w:szCs w:val="24"/>
        </w:rPr>
      </w:pPr>
    </w:p>
    <w:p w14:paraId="3329A7D7" w14:textId="14E2E49E" w:rsidR="00C841CC" w:rsidRPr="00A77319" w:rsidRDefault="00C841CC" w:rsidP="00783539">
      <w:pPr>
        <w:pStyle w:val="Recuodecorpodetexto"/>
        <w:ind w:firstLine="1418"/>
        <w:rPr>
          <w:rFonts w:ascii="Times New Roman" w:hAnsi="Times New Roman"/>
          <w:iCs/>
          <w:sz w:val="24"/>
          <w:szCs w:val="24"/>
        </w:rPr>
      </w:pPr>
      <w:r w:rsidRPr="00A77319">
        <w:rPr>
          <w:rFonts w:ascii="Times New Roman" w:hAnsi="Times New Roman"/>
          <w:b/>
          <w:iCs/>
          <w:sz w:val="24"/>
          <w:szCs w:val="24"/>
        </w:rPr>
        <w:t>Art.</w:t>
      </w:r>
      <w:r w:rsidR="00A77319">
        <w:rPr>
          <w:rFonts w:ascii="Times New Roman" w:hAnsi="Times New Roman"/>
          <w:b/>
          <w:iCs/>
          <w:sz w:val="24"/>
          <w:szCs w:val="24"/>
        </w:rPr>
        <w:t xml:space="preserve"> </w:t>
      </w:r>
      <w:r w:rsidRPr="00A77319">
        <w:rPr>
          <w:rFonts w:ascii="Times New Roman" w:hAnsi="Times New Roman"/>
          <w:b/>
          <w:iCs/>
          <w:sz w:val="24"/>
          <w:szCs w:val="24"/>
        </w:rPr>
        <w:t>6º</w:t>
      </w:r>
      <w:r w:rsidRPr="00A77319">
        <w:rPr>
          <w:rFonts w:ascii="Times New Roman" w:hAnsi="Times New Roman"/>
          <w:b/>
          <w:bCs/>
          <w:iCs/>
          <w:sz w:val="24"/>
          <w:szCs w:val="24"/>
        </w:rPr>
        <w:t xml:space="preserve"> -</w:t>
      </w:r>
      <w:r w:rsidRPr="00A77319">
        <w:rPr>
          <w:rFonts w:ascii="Times New Roman" w:hAnsi="Times New Roman"/>
          <w:bCs/>
          <w:iCs/>
          <w:sz w:val="24"/>
          <w:szCs w:val="24"/>
        </w:rPr>
        <w:t xml:space="preserve"> O loteamento será destinado para uso residencial e comercial e as construções deverão conter no mínimo 70,00m² (setenta metros quadrados) em alvenaria e telha de barro ou cimento, obedecendo ainda, ao disposto na Legislação Urbanística Municipal.</w:t>
      </w:r>
    </w:p>
    <w:p w14:paraId="63B9548D" w14:textId="77777777" w:rsidR="00A77319" w:rsidRDefault="00A77319" w:rsidP="00783539">
      <w:pPr>
        <w:pStyle w:val="Recuodecorpodetexto"/>
        <w:ind w:firstLine="1418"/>
        <w:rPr>
          <w:rFonts w:ascii="Times New Roman" w:hAnsi="Times New Roman"/>
          <w:b/>
          <w:bCs/>
          <w:iCs/>
          <w:sz w:val="24"/>
          <w:szCs w:val="24"/>
        </w:rPr>
      </w:pPr>
    </w:p>
    <w:p w14:paraId="60189F92" w14:textId="5F693F96" w:rsidR="00C841CC" w:rsidRPr="00A77319" w:rsidRDefault="00C841CC" w:rsidP="00783539">
      <w:pPr>
        <w:pStyle w:val="Recuodecorpodetexto"/>
        <w:ind w:firstLine="1418"/>
        <w:rPr>
          <w:rFonts w:ascii="Times New Roman" w:hAnsi="Times New Roman"/>
          <w:iCs/>
          <w:sz w:val="24"/>
          <w:szCs w:val="24"/>
        </w:rPr>
      </w:pPr>
      <w:r w:rsidRPr="00A77319">
        <w:rPr>
          <w:rFonts w:ascii="Times New Roman" w:hAnsi="Times New Roman"/>
          <w:b/>
          <w:bCs/>
          <w:iCs/>
          <w:sz w:val="24"/>
          <w:szCs w:val="24"/>
        </w:rPr>
        <w:t>Parágrafo</w:t>
      </w:r>
      <w:r w:rsidRPr="00A77319">
        <w:rPr>
          <w:rFonts w:ascii="Times New Roman" w:hAnsi="Times New Roman"/>
          <w:b/>
          <w:iCs/>
          <w:sz w:val="24"/>
          <w:szCs w:val="24"/>
        </w:rPr>
        <w:t xml:space="preserve"> </w:t>
      </w:r>
      <w:r w:rsidRPr="00A77319">
        <w:rPr>
          <w:rFonts w:ascii="Times New Roman" w:hAnsi="Times New Roman"/>
          <w:b/>
          <w:bCs/>
          <w:iCs/>
          <w:sz w:val="24"/>
          <w:szCs w:val="24"/>
        </w:rPr>
        <w:t>Único</w:t>
      </w:r>
      <w:r w:rsidRPr="00A77319">
        <w:rPr>
          <w:rFonts w:ascii="Times New Roman" w:hAnsi="Times New Roman"/>
          <w:b/>
          <w:iCs/>
          <w:sz w:val="24"/>
          <w:szCs w:val="24"/>
        </w:rPr>
        <w:t xml:space="preserve"> –</w:t>
      </w:r>
      <w:r w:rsidRPr="00A77319">
        <w:rPr>
          <w:rFonts w:ascii="Times New Roman" w:hAnsi="Times New Roman"/>
          <w:iCs/>
          <w:sz w:val="24"/>
          <w:szCs w:val="24"/>
        </w:rPr>
        <w:t xml:space="preserve"> A responsabilidade pela abertura e pavimentação das ruas, construções de redes de abastecimento de água e esgoto, construção de rede de fornecimento de energia elétrica, bem como demais acessórios de estrutura urbana em todo o loteamento, segundo cronograma de implantação previamente aprovado, é inteiramente do loteador-proprietário.</w:t>
      </w:r>
    </w:p>
    <w:p w14:paraId="50CB10F8" w14:textId="77777777" w:rsidR="00A77319" w:rsidRDefault="00A77319" w:rsidP="00783539">
      <w:pPr>
        <w:pStyle w:val="Recuodecorpodetexto"/>
        <w:ind w:firstLine="1418"/>
        <w:rPr>
          <w:rFonts w:ascii="Times New Roman" w:hAnsi="Times New Roman"/>
          <w:iCs/>
          <w:sz w:val="24"/>
          <w:szCs w:val="24"/>
        </w:rPr>
      </w:pPr>
    </w:p>
    <w:p w14:paraId="10E12CD8" w14:textId="1956E758" w:rsidR="00C841CC" w:rsidRPr="00A77319" w:rsidRDefault="00C841CC" w:rsidP="00783539">
      <w:pPr>
        <w:pStyle w:val="Recuodecorpodetexto"/>
        <w:ind w:firstLine="1418"/>
        <w:rPr>
          <w:rFonts w:ascii="Times New Roman" w:hAnsi="Times New Roman"/>
          <w:bCs/>
          <w:iCs/>
          <w:sz w:val="24"/>
          <w:szCs w:val="24"/>
        </w:rPr>
      </w:pPr>
      <w:r w:rsidRPr="00A77319">
        <w:rPr>
          <w:rFonts w:ascii="Times New Roman" w:hAnsi="Times New Roman"/>
          <w:b/>
          <w:iCs/>
          <w:sz w:val="24"/>
          <w:szCs w:val="24"/>
        </w:rPr>
        <w:t>Art.</w:t>
      </w:r>
      <w:r w:rsidR="00A77319">
        <w:rPr>
          <w:rFonts w:ascii="Times New Roman" w:hAnsi="Times New Roman"/>
          <w:b/>
          <w:iCs/>
          <w:sz w:val="24"/>
          <w:szCs w:val="24"/>
        </w:rPr>
        <w:t xml:space="preserve"> </w:t>
      </w:r>
      <w:r w:rsidRPr="00A77319">
        <w:rPr>
          <w:rFonts w:ascii="Times New Roman" w:hAnsi="Times New Roman"/>
          <w:b/>
          <w:iCs/>
          <w:sz w:val="24"/>
          <w:szCs w:val="24"/>
        </w:rPr>
        <w:t>7º</w:t>
      </w:r>
      <w:r w:rsidRPr="00A77319">
        <w:rPr>
          <w:rFonts w:ascii="Times New Roman" w:hAnsi="Times New Roman"/>
          <w:b/>
          <w:bCs/>
          <w:iCs/>
          <w:sz w:val="24"/>
          <w:szCs w:val="24"/>
        </w:rPr>
        <w:t xml:space="preserve"> –</w:t>
      </w:r>
      <w:r w:rsidRPr="00A77319">
        <w:rPr>
          <w:rFonts w:ascii="Times New Roman" w:hAnsi="Times New Roman"/>
          <w:bCs/>
          <w:iCs/>
          <w:sz w:val="24"/>
          <w:szCs w:val="24"/>
        </w:rPr>
        <w:t xml:space="preserve"> As matrículas das áreas públicas, tituladas em nome do Poder Público, serão fornecidas pelo Loteador, livres de qualquer ônus para o município.</w:t>
      </w:r>
    </w:p>
    <w:p w14:paraId="62A43BC8" w14:textId="77777777" w:rsidR="00A77319" w:rsidRDefault="00A77319" w:rsidP="00783539">
      <w:pPr>
        <w:pStyle w:val="Recuodecorpodetexto"/>
        <w:ind w:firstLine="1418"/>
        <w:rPr>
          <w:rFonts w:ascii="Times New Roman" w:hAnsi="Times New Roman"/>
          <w:b/>
          <w:sz w:val="24"/>
          <w:szCs w:val="24"/>
        </w:rPr>
      </w:pPr>
    </w:p>
    <w:p w14:paraId="00EA25B9" w14:textId="31068836" w:rsidR="00C841CC" w:rsidRPr="00A77319" w:rsidRDefault="00C841CC" w:rsidP="00783539">
      <w:pPr>
        <w:pStyle w:val="Recuodecorpodetexto"/>
        <w:ind w:firstLine="1418"/>
        <w:rPr>
          <w:rFonts w:ascii="Times New Roman" w:hAnsi="Times New Roman"/>
          <w:sz w:val="24"/>
          <w:szCs w:val="24"/>
        </w:rPr>
      </w:pPr>
      <w:r w:rsidRPr="00A77319">
        <w:rPr>
          <w:rFonts w:ascii="Times New Roman" w:hAnsi="Times New Roman"/>
          <w:b/>
          <w:sz w:val="24"/>
          <w:szCs w:val="24"/>
        </w:rPr>
        <w:t>Art.</w:t>
      </w:r>
      <w:r w:rsidR="00A77319">
        <w:rPr>
          <w:rFonts w:ascii="Times New Roman" w:hAnsi="Times New Roman"/>
          <w:b/>
          <w:sz w:val="24"/>
          <w:szCs w:val="24"/>
        </w:rPr>
        <w:t xml:space="preserve"> </w:t>
      </w:r>
      <w:r w:rsidRPr="00A77319">
        <w:rPr>
          <w:rFonts w:ascii="Times New Roman" w:hAnsi="Times New Roman"/>
          <w:b/>
          <w:sz w:val="24"/>
          <w:szCs w:val="24"/>
        </w:rPr>
        <w:t>8° -</w:t>
      </w:r>
      <w:r w:rsidRPr="00A77319">
        <w:rPr>
          <w:rFonts w:ascii="Times New Roman" w:hAnsi="Times New Roman"/>
          <w:sz w:val="24"/>
          <w:szCs w:val="24"/>
        </w:rPr>
        <w:t xml:space="preserve"> A Rua H, prevista no projeto, é transformada em Avenida, obedecendo o perfil dessa modalidade de via </w:t>
      </w:r>
      <w:proofErr w:type="gramStart"/>
      <w:r w:rsidRPr="00A77319">
        <w:rPr>
          <w:rFonts w:ascii="Times New Roman" w:hAnsi="Times New Roman"/>
          <w:sz w:val="24"/>
          <w:szCs w:val="24"/>
        </w:rPr>
        <w:t>pública,  obrigando</w:t>
      </w:r>
      <w:proofErr w:type="gramEnd"/>
      <w:r w:rsidRPr="00A77319">
        <w:rPr>
          <w:rFonts w:ascii="Times New Roman" w:hAnsi="Times New Roman"/>
          <w:sz w:val="24"/>
          <w:szCs w:val="24"/>
        </w:rPr>
        <w:t>-se os proprietários dos terrenos frontais a essa  avenida  a observarem o estabelecido na legislação, especialmente:</w:t>
      </w:r>
    </w:p>
    <w:p w14:paraId="31B5DF55" w14:textId="77777777" w:rsidR="00C841CC" w:rsidRPr="00A77319" w:rsidRDefault="00C841CC" w:rsidP="00783539">
      <w:pPr>
        <w:pStyle w:val="Recuodecorpodetexto"/>
        <w:ind w:firstLine="1418"/>
        <w:rPr>
          <w:rFonts w:ascii="Times New Roman" w:hAnsi="Times New Roman"/>
          <w:sz w:val="24"/>
          <w:szCs w:val="24"/>
        </w:rPr>
      </w:pPr>
    </w:p>
    <w:p w14:paraId="29459167" w14:textId="77777777" w:rsidR="00C841CC" w:rsidRPr="00A77319" w:rsidRDefault="00C841CC" w:rsidP="00783539">
      <w:pPr>
        <w:pStyle w:val="Recuodecorpodetexto"/>
        <w:numPr>
          <w:ilvl w:val="0"/>
          <w:numId w:val="1"/>
        </w:numPr>
        <w:tabs>
          <w:tab w:val="clear" w:pos="1134"/>
          <w:tab w:val="clear" w:pos="2340"/>
          <w:tab w:val="num" w:pos="0"/>
        </w:tabs>
        <w:ind w:left="0" w:firstLine="1418"/>
        <w:rPr>
          <w:rFonts w:ascii="Times New Roman" w:hAnsi="Times New Roman"/>
          <w:sz w:val="24"/>
          <w:szCs w:val="24"/>
        </w:rPr>
      </w:pPr>
      <w:r w:rsidRPr="00A77319">
        <w:rPr>
          <w:rFonts w:ascii="Times New Roman" w:hAnsi="Times New Roman"/>
          <w:sz w:val="24"/>
          <w:szCs w:val="24"/>
        </w:rPr>
        <w:t>recuo frontal de quatro (4) metros;</w:t>
      </w:r>
    </w:p>
    <w:p w14:paraId="6CE7F35F" w14:textId="77777777" w:rsidR="00C841CC" w:rsidRPr="00A77319" w:rsidRDefault="00C841CC" w:rsidP="00783539">
      <w:pPr>
        <w:pStyle w:val="Recuodecorpodetexto"/>
        <w:numPr>
          <w:ilvl w:val="0"/>
          <w:numId w:val="1"/>
        </w:numPr>
        <w:tabs>
          <w:tab w:val="clear" w:pos="1134"/>
          <w:tab w:val="clear" w:pos="2340"/>
          <w:tab w:val="num" w:pos="0"/>
        </w:tabs>
        <w:ind w:left="0" w:firstLine="1418"/>
        <w:rPr>
          <w:rFonts w:ascii="Times New Roman" w:hAnsi="Times New Roman"/>
          <w:sz w:val="24"/>
          <w:szCs w:val="24"/>
        </w:rPr>
      </w:pPr>
      <w:r w:rsidRPr="00A77319">
        <w:rPr>
          <w:rFonts w:ascii="Times New Roman" w:hAnsi="Times New Roman"/>
          <w:sz w:val="24"/>
          <w:szCs w:val="24"/>
        </w:rPr>
        <w:t>largura do passeio de três (3) metros de cada lado;</w:t>
      </w:r>
    </w:p>
    <w:p w14:paraId="197068A1" w14:textId="77777777" w:rsidR="00C841CC" w:rsidRPr="00A77319" w:rsidRDefault="00C841CC" w:rsidP="00783539">
      <w:pPr>
        <w:pStyle w:val="Recuodecorpodetexto"/>
        <w:numPr>
          <w:ilvl w:val="0"/>
          <w:numId w:val="1"/>
        </w:numPr>
        <w:tabs>
          <w:tab w:val="clear" w:pos="1134"/>
          <w:tab w:val="clear" w:pos="2340"/>
          <w:tab w:val="num" w:pos="0"/>
        </w:tabs>
        <w:ind w:left="0" w:firstLine="1418"/>
        <w:rPr>
          <w:rFonts w:ascii="Times New Roman" w:hAnsi="Times New Roman"/>
          <w:sz w:val="24"/>
          <w:szCs w:val="24"/>
        </w:rPr>
      </w:pPr>
      <w:r w:rsidRPr="00A77319">
        <w:rPr>
          <w:rFonts w:ascii="Times New Roman" w:hAnsi="Times New Roman"/>
          <w:sz w:val="24"/>
          <w:szCs w:val="24"/>
        </w:rPr>
        <w:t xml:space="preserve">canteiro central na Avenida, de </w:t>
      </w:r>
      <w:proofErr w:type="gramStart"/>
      <w:r w:rsidRPr="00A77319">
        <w:rPr>
          <w:rFonts w:ascii="Times New Roman" w:hAnsi="Times New Roman"/>
          <w:sz w:val="24"/>
          <w:szCs w:val="24"/>
        </w:rPr>
        <w:t>três(</w:t>
      </w:r>
      <w:proofErr w:type="gramEnd"/>
      <w:r w:rsidRPr="00A77319">
        <w:rPr>
          <w:rFonts w:ascii="Times New Roman" w:hAnsi="Times New Roman"/>
          <w:sz w:val="24"/>
          <w:szCs w:val="24"/>
        </w:rPr>
        <w:t>3) metros;</w:t>
      </w:r>
    </w:p>
    <w:p w14:paraId="086AB3F2" w14:textId="77777777" w:rsidR="00C841CC" w:rsidRPr="00A77319" w:rsidRDefault="00C841CC" w:rsidP="00783539">
      <w:pPr>
        <w:pStyle w:val="Recuodecorpodetexto"/>
        <w:numPr>
          <w:ilvl w:val="0"/>
          <w:numId w:val="1"/>
        </w:numPr>
        <w:tabs>
          <w:tab w:val="clear" w:pos="1134"/>
          <w:tab w:val="clear" w:pos="2340"/>
          <w:tab w:val="num" w:pos="0"/>
        </w:tabs>
        <w:ind w:left="0" w:firstLine="1418"/>
        <w:rPr>
          <w:rFonts w:ascii="Times New Roman" w:hAnsi="Times New Roman"/>
          <w:sz w:val="24"/>
          <w:szCs w:val="24"/>
        </w:rPr>
      </w:pPr>
      <w:r w:rsidRPr="00A77319">
        <w:rPr>
          <w:rFonts w:ascii="Times New Roman" w:hAnsi="Times New Roman"/>
          <w:sz w:val="24"/>
          <w:szCs w:val="24"/>
        </w:rPr>
        <w:t>duas pistas livres, de oito (8) metros cada uma.</w:t>
      </w:r>
    </w:p>
    <w:p w14:paraId="11495E0A" w14:textId="77777777" w:rsidR="00A77319" w:rsidRDefault="00A77319" w:rsidP="00783539">
      <w:pPr>
        <w:pStyle w:val="Recuodecorpodetexto"/>
        <w:ind w:firstLine="1418"/>
        <w:rPr>
          <w:rFonts w:ascii="Times New Roman" w:hAnsi="Times New Roman"/>
          <w:iCs/>
          <w:sz w:val="24"/>
          <w:szCs w:val="24"/>
        </w:rPr>
      </w:pPr>
    </w:p>
    <w:p w14:paraId="2EFBB9D2" w14:textId="32EBF8FF" w:rsidR="00C841CC" w:rsidRPr="00A77319" w:rsidRDefault="00C841CC" w:rsidP="00783539">
      <w:pPr>
        <w:pStyle w:val="Recuodecorpodetexto"/>
        <w:ind w:firstLine="1418"/>
        <w:rPr>
          <w:rFonts w:ascii="Times New Roman" w:hAnsi="Times New Roman"/>
          <w:bCs/>
          <w:iCs/>
          <w:sz w:val="24"/>
          <w:szCs w:val="24"/>
        </w:rPr>
      </w:pPr>
      <w:r w:rsidRPr="00A77319">
        <w:rPr>
          <w:rFonts w:ascii="Times New Roman" w:hAnsi="Times New Roman"/>
          <w:b/>
          <w:iCs/>
          <w:sz w:val="24"/>
          <w:szCs w:val="24"/>
        </w:rPr>
        <w:t>Art.</w:t>
      </w:r>
      <w:r w:rsidR="00A77319">
        <w:rPr>
          <w:rFonts w:ascii="Times New Roman" w:hAnsi="Times New Roman"/>
          <w:b/>
          <w:iCs/>
          <w:sz w:val="24"/>
          <w:szCs w:val="24"/>
        </w:rPr>
        <w:t xml:space="preserve"> </w:t>
      </w:r>
      <w:r w:rsidRPr="00A77319">
        <w:rPr>
          <w:rFonts w:ascii="Times New Roman" w:hAnsi="Times New Roman"/>
          <w:b/>
          <w:iCs/>
          <w:sz w:val="24"/>
          <w:szCs w:val="24"/>
        </w:rPr>
        <w:t>9º</w:t>
      </w:r>
      <w:r w:rsidRPr="00A77319">
        <w:rPr>
          <w:rFonts w:ascii="Times New Roman" w:hAnsi="Times New Roman"/>
          <w:b/>
          <w:bCs/>
          <w:iCs/>
          <w:sz w:val="24"/>
          <w:szCs w:val="24"/>
        </w:rPr>
        <w:t xml:space="preserve"> –</w:t>
      </w:r>
      <w:r w:rsidRPr="00A77319">
        <w:rPr>
          <w:rFonts w:ascii="Times New Roman" w:hAnsi="Times New Roman"/>
          <w:bCs/>
          <w:iCs/>
          <w:sz w:val="24"/>
          <w:szCs w:val="24"/>
        </w:rPr>
        <w:t xml:space="preserve"> Constituem-se, ainda, em obrigações do loteador:</w:t>
      </w:r>
    </w:p>
    <w:p w14:paraId="0A148050" w14:textId="77777777" w:rsidR="00C841CC" w:rsidRPr="00A77319" w:rsidRDefault="00C841CC" w:rsidP="00783539">
      <w:pPr>
        <w:ind w:firstLine="1418"/>
        <w:jc w:val="both"/>
        <w:rPr>
          <w:bCs/>
          <w:iCs/>
          <w:sz w:val="24"/>
          <w:szCs w:val="24"/>
        </w:rPr>
      </w:pPr>
    </w:p>
    <w:p w14:paraId="4F8B45EE" w14:textId="4994EB90" w:rsidR="00C841CC" w:rsidRPr="00A77319" w:rsidRDefault="00C841CC" w:rsidP="00783539">
      <w:pPr>
        <w:ind w:firstLine="1418"/>
        <w:jc w:val="both"/>
        <w:rPr>
          <w:sz w:val="24"/>
          <w:szCs w:val="24"/>
        </w:rPr>
      </w:pPr>
      <w:r w:rsidRPr="00A77319">
        <w:rPr>
          <w:bCs/>
          <w:iCs/>
          <w:sz w:val="24"/>
          <w:szCs w:val="24"/>
        </w:rPr>
        <w:t>a)</w:t>
      </w:r>
      <w:r w:rsidRPr="00A77319">
        <w:rPr>
          <w:sz w:val="24"/>
          <w:szCs w:val="24"/>
        </w:rPr>
        <w:t xml:space="preserve"> construir um lago, conforme projeto devidamente licenciado pelo órgão ambiental competente;</w:t>
      </w:r>
    </w:p>
    <w:p w14:paraId="2D069AE2" w14:textId="77777777" w:rsidR="00C841CC" w:rsidRPr="00A77319" w:rsidRDefault="00C841CC" w:rsidP="00783539">
      <w:pPr>
        <w:ind w:firstLine="1418"/>
        <w:jc w:val="both"/>
        <w:rPr>
          <w:sz w:val="24"/>
          <w:szCs w:val="24"/>
        </w:rPr>
      </w:pPr>
      <w:r w:rsidRPr="00A77319">
        <w:rPr>
          <w:sz w:val="24"/>
          <w:szCs w:val="24"/>
        </w:rPr>
        <w:t xml:space="preserve">b) construir calçada ao redor do lago com área de </w:t>
      </w:r>
      <w:smartTag w:uri="urn:schemas-microsoft-com:office:smarttags" w:element="metricconverter">
        <w:smartTagPr>
          <w:attr w:name="ProductID" w:val="3.300 m2"/>
          <w:attr w:name="st" w:val="on"/>
        </w:smartTagPr>
        <w:r w:rsidRPr="00A77319">
          <w:rPr>
            <w:sz w:val="24"/>
            <w:szCs w:val="24"/>
          </w:rPr>
          <w:t>3.300 m2</w:t>
        </w:r>
      </w:smartTag>
      <w:r w:rsidRPr="00A77319">
        <w:rPr>
          <w:sz w:val="24"/>
          <w:szCs w:val="24"/>
        </w:rPr>
        <w:t>.</w:t>
      </w:r>
    </w:p>
    <w:p w14:paraId="7170A2F8" w14:textId="77777777" w:rsidR="00C841CC" w:rsidRPr="00A77319" w:rsidRDefault="00C841CC" w:rsidP="00783539">
      <w:pPr>
        <w:ind w:firstLine="1418"/>
        <w:jc w:val="both"/>
        <w:rPr>
          <w:sz w:val="24"/>
          <w:szCs w:val="24"/>
        </w:rPr>
      </w:pPr>
      <w:r w:rsidRPr="00A77319">
        <w:rPr>
          <w:sz w:val="24"/>
          <w:szCs w:val="24"/>
        </w:rPr>
        <w:t>c) colocação de superpostes ao longo da Av. Blumenau, no trecho de competência do Loteamento;</w:t>
      </w:r>
    </w:p>
    <w:p w14:paraId="09290041" w14:textId="77777777" w:rsidR="00C841CC" w:rsidRPr="00A77319" w:rsidRDefault="00C841CC" w:rsidP="00783539">
      <w:pPr>
        <w:ind w:firstLine="1418"/>
        <w:jc w:val="both"/>
        <w:rPr>
          <w:sz w:val="24"/>
          <w:szCs w:val="24"/>
        </w:rPr>
      </w:pPr>
      <w:r w:rsidRPr="00A77319">
        <w:rPr>
          <w:sz w:val="24"/>
          <w:szCs w:val="24"/>
        </w:rPr>
        <w:t>d) liberação da área necessária para a implantação da estrada de acesso à BR 163, interligando o Bairro Jardim Carolina e a Gleba Portal do Verde;</w:t>
      </w:r>
    </w:p>
    <w:p w14:paraId="04FB7058" w14:textId="77777777" w:rsidR="00C841CC" w:rsidRPr="00A77319" w:rsidRDefault="00C841CC" w:rsidP="00783539">
      <w:pPr>
        <w:ind w:firstLine="1418"/>
        <w:jc w:val="both"/>
        <w:rPr>
          <w:sz w:val="24"/>
          <w:szCs w:val="24"/>
        </w:rPr>
      </w:pPr>
      <w:r w:rsidRPr="00A77319">
        <w:rPr>
          <w:sz w:val="24"/>
          <w:szCs w:val="24"/>
        </w:rPr>
        <w:t xml:space="preserve">e) rede de esgoto a ser construído até o acesso para cada lote, no prazo de 36 (trinta e seis) meses, segundo projeto aprovado previamente; </w:t>
      </w:r>
    </w:p>
    <w:p w14:paraId="3D119252" w14:textId="20105E11" w:rsidR="00C841CC" w:rsidRDefault="00C841CC" w:rsidP="00783539">
      <w:pPr>
        <w:ind w:firstLine="1418"/>
        <w:jc w:val="both"/>
        <w:rPr>
          <w:strike/>
          <w:sz w:val="24"/>
          <w:szCs w:val="24"/>
        </w:rPr>
      </w:pPr>
      <w:r w:rsidRPr="0082630D">
        <w:rPr>
          <w:strike/>
          <w:sz w:val="24"/>
          <w:szCs w:val="24"/>
        </w:rPr>
        <w:t>f) pavimentação em CBUQ em todas as vias públicas do Loteamento.</w:t>
      </w:r>
    </w:p>
    <w:p w14:paraId="2EF56D38" w14:textId="6BBFA835" w:rsidR="0082630D" w:rsidRPr="0082630D" w:rsidRDefault="0082630D" w:rsidP="00783539">
      <w:pPr>
        <w:ind w:firstLine="1418"/>
        <w:jc w:val="both"/>
        <w:rPr>
          <w:strike/>
          <w:sz w:val="24"/>
          <w:szCs w:val="24"/>
        </w:rPr>
      </w:pPr>
      <w:r w:rsidRPr="00264241">
        <w:rPr>
          <w:iCs/>
          <w:sz w:val="24"/>
          <w:szCs w:val="24"/>
        </w:rPr>
        <w:lastRenderedPageBreak/>
        <w:t>f) pavimentação em CBUQ na Av. Blumenau e pavimentação TSD - Tratamento Superficial Duplo - com capa selante nas demais, vias, incluindo aquelas da 1ª Etapa, objeto da Lei Municipal nº 1.548/06</w:t>
      </w:r>
      <w:r>
        <w:rPr>
          <w:iCs/>
          <w:sz w:val="24"/>
          <w:szCs w:val="24"/>
        </w:rPr>
        <w:t xml:space="preserve">. </w:t>
      </w:r>
      <w:bookmarkStart w:id="0" w:name="_GoBack"/>
      <w:r w:rsidRPr="0082630D">
        <w:rPr>
          <w:iCs/>
          <w:color w:val="0000FF"/>
          <w:sz w:val="24"/>
          <w:szCs w:val="24"/>
        </w:rPr>
        <w:t>(Redação dada pela Lei nº 1584/2007)</w:t>
      </w:r>
      <w:bookmarkEnd w:id="0"/>
    </w:p>
    <w:p w14:paraId="66273006" w14:textId="77777777" w:rsidR="00C841CC" w:rsidRPr="00A77319" w:rsidRDefault="00C841CC" w:rsidP="00783539">
      <w:pPr>
        <w:ind w:firstLine="1418"/>
        <w:jc w:val="both"/>
        <w:rPr>
          <w:b/>
          <w:iCs/>
          <w:sz w:val="24"/>
          <w:szCs w:val="24"/>
        </w:rPr>
      </w:pPr>
    </w:p>
    <w:p w14:paraId="086A4707" w14:textId="711DCAC0" w:rsidR="00C841CC" w:rsidRPr="00A77319" w:rsidRDefault="00C841CC" w:rsidP="00783539">
      <w:pPr>
        <w:ind w:firstLine="1418"/>
        <w:jc w:val="both"/>
        <w:rPr>
          <w:iCs/>
          <w:sz w:val="24"/>
          <w:szCs w:val="24"/>
        </w:rPr>
      </w:pPr>
      <w:r w:rsidRPr="00A77319">
        <w:rPr>
          <w:b/>
          <w:iCs/>
          <w:sz w:val="24"/>
          <w:szCs w:val="24"/>
        </w:rPr>
        <w:t>Art.</w:t>
      </w:r>
      <w:r w:rsidR="00A77319">
        <w:rPr>
          <w:b/>
          <w:iCs/>
          <w:sz w:val="24"/>
          <w:szCs w:val="24"/>
        </w:rPr>
        <w:t xml:space="preserve"> </w:t>
      </w:r>
      <w:r w:rsidRPr="00A77319">
        <w:rPr>
          <w:b/>
          <w:iCs/>
          <w:sz w:val="24"/>
          <w:szCs w:val="24"/>
        </w:rPr>
        <w:t xml:space="preserve">10 – </w:t>
      </w:r>
      <w:r w:rsidRPr="00A77319">
        <w:rPr>
          <w:iCs/>
          <w:sz w:val="24"/>
          <w:szCs w:val="24"/>
        </w:rPr>
        <w:t>O proprietário do imóvel fica autorizado a edificar, no referido loteamento, a partir da homologação desta lei, somente com a infra-estrutura básica: ruas, rede água e de energia.</w:t>
      </w:r>
    </w:p>
    <w:p w14:paraId="703379C8" w14:textId="77777777" w:rsidR="00C841CC" w:rsidRPr="00A77319" w:rsidRDefault="00C841CC" w:rsidP="00783539">
      <w:pPr>
        <w:pStyle w:val="Recuodecorpodetexto"/>
        <w:ind w:firstLine="1418"/>
        <w:rPr>
          <w:rFonts w:ascii="Times New Roman" w:hAnsi="Times New Roman"/>
          <w:b/>
          <w:bCs/>
          <w:iCs/>
          <w:sz w:val="24"/>
          <w:szCs w:val="24"/>
        </w:rPr>
      </w:pPr>
    </w:p>
    <w:p w14:paraId="01D3EE3D" w14:textId="1EF826FB" w:rsidR="00C841CC" w:rsidRPr="00A77319" w:rsidRDefault="00C841CC" w:rsidP="00783539">
      <w:pPr>
        <w:pStyle w:val="Recuodecorpodetexto"/>
        <w:ind w:firstLine="1418"/>
        <w:rPr>
          <w:rFonts w:ascii="Times New Roman" w:hAnsi="Times New Roman"/>
          <w:iCs/>
          <w:sz w:val="24"/>
          <w:szCs w:val="24"/>
        </w:rPr>
      </w:pPr>
      <w:r w:rsidRPr="00A77319">
        <w:rPr>
          <w:rFonts w:ascii="Times New Roman" w:hAnsi="Times New Roman"/>
          <w:b/>
          <w:bCs/>
          <w:iCs/>
          <w:sz w:val="24"/>
          <w:szCs w:val="24"/>
        </w:rPr>
        <w:t>Art.</w:t>
      </w:r>
      <w:r w:rsidR="00A77319">
        <w:rPr>
          <w:rFonts w:ascii="Times New Roman" w:hAnsi="Times New Roman"/>
          <w:b/>
          <w:bCs/>
          <w:iCs/>
          <w:sz w:val="24"/>
          <w:szCs w:val="24"/>
        </w:rPr>
        <w:t xml:space="preserve"> </w:t>
      </w:r>
      <w:r w:rsidRPr="00A77319">
        <w:rPr>
          <w:rFonts w:ascii="Times New Roman" w:hAnsi="Times New Roman"/>
          <w:b/>
          <w:bCs/>
          <w:iCs/>
          <w:sz w:val="24"/>
          <w:szCs w:val="24"/>
        </w:rPr>
        <w:t>11 -</w:t>
      </w:r>
      <w:r w:rsidRPr="00A77319">
        <w:rPr>
          <w:rFonts w:ascii="Times New Roman" w:hAnsi="Times New Roman"/>
          <w:bCs/>
          <w:iCs/>
          <w:sz w:val="24"/>
          <w:szCs w:val="24"/>
        </w:rPr>
        <w:t xml:space="preserve"> Esta Lei entra em vigor na data de sua publicação.</w:t>
      </w:r>
    </w:p>
    <w:p w14:paraId="3A6741F3" w14:textId="77777777" w:rsidR="00C841CC" w:rsidRPr="00A77319" w:rsidRDefault="00C841CC" w:rsidP="00783539">
      <w:pPr>
        <w:pStyle w:val="Recuodecorpodetexto"/>
        <w:ind w:firstLine="1418"/>
        <w:rPr>
          <w:rFonts w:ascii="Times New Roman" w:hAnsi="Times New Roman"/>
          <w:iCs/>
          <w:sz w:val="24"/>
          <w:szCs w:val="24"/>
        </w:rPr>
      </w:pPr>
    </w:p>
    <w:p w14:paraId="2659CC11" w14:textId="30FC2F25" w:rsidR="00C841CC" w:rsidRPr="00A77319" w:rsidRDefault="00C841CC" w:rsidP="00783539">
      <w:pPr>
        <w:pStyle w:val="Recuodecorpodetexto"/>
        <w:ind w:firstLine="1418"/>
        <w:rPr>
          <w:rFonts w:ascii="Times New Roman" w:hAnsi="Times New Roman"/>
          <w:b/>
          <w:iCs/>
          <w:sz w:val="24"/>
          <w:szCs w:val="24"/>
        </w:rPr>
      </w:pPr>
      <w:r w:rsidRPr="00A77319">
        <w:rPr>
          <w:rFonts w:ascii="Times New Roman" w:hAnsi="Times New Roman"/>
          <w:b/>
          <w:iCs/>
          <w:sz w:val="24"/>
          <w:szCs w:val="24"/>
        </w:rPr>
        <w:t>Art.</w:t>
      </w:r>
      <w:r w:rsidR="00A77319">
        <w:rPr>
          <w:rFonts w:ascii="Times New Roman" w:hAnsi="Times New Roman"/>
          <w:b/>
          <w:iCs/>
          <w:sz w:val="24"/>
          <w:szCs w:val="24"/>
        </w:rPr>
        <w:t xml:space="preserve"> </w:t>
      </w:r>
      <w:r w:rsidRPr="00A77319">
        <w:rPr>
          <w:rFonts w:ascii="Times New Roman" w:hAnsi="Times New Roman"/>
          <w:b/>
          <w:iCs/>
          <w:sz w:val="24"/>
          <w:szCs w:val="24"/>
        </w:rPr>
        <w:t>12</w:t>
      </w:r>
      <w:r w:rsidRPr="00A77319">
        <w:rPr>
          <w:rFonts w:ascii="Times New Roman" w:hAnsi="Times New Roman"/>
          <w:b/>
          <w:bCs/>
          <w:iCs/>
          <w:sz w:val="24"/>
          <w:szCs w:val="24"/>
        </w:rPr>
        <w:t xml:space="preserve"> –</w:t>
      </w:r>
      <w:r w:rsidRPr="00A77319">
        <w:rPr>
          <w:rFonts w:ascii="Times New Roman" w:hAnsi="Times New Roman"/>
          <w:bCs/>
          <w:iCs/>
          <w:sz w:val="24"/>
          <w:szCs w:val="24"/>
        </w:rPr>
        <w:t xml:space="preserve"> Revogam-se as disposições em contrário</w:t>
      </w:r>
      <w:r w:rsidRPr="00A77319">
        <w:rPr>
          <w:rFonts w:ascii="Times New Roman" w:hAnsi="Times New Roman"/>
          <w:b/>
          <w:bCs/>
          <w:iCs/>
          <w:sz w:val="24"/>
          <w:szCs w:val="24"/>
        </w:rPr>
        <w:t>.</w:t>
      </w:r>
    </w:p>
    <w:p w14:paraId="5DF668EA" w14:textId="77777777" w:rsidR="00C841CC" w:rsidRPr="00A77319" w:rsidRDefault="00C841CC" w:rsidP="00783539">
      <w:pPr>
        <w:pStyle w:val="Recuodecorpodetexto"/>
        <w:ind w:firstLine="1418"/>
        <w:rPr>
          <w:rFonts w:ascii="Times New Roman" w:hAnsi="Times New Roman"/>
          <w:b/>
          <w:iCs/>
          <w:sz w:val="24"/>
          <w:szCs w:val="24"/>
        </w:rPr>
      </w:pPr>
    </w:p>
    <w:p w14:paraId="49FFF1C0" w14:textId="35459BC4" w:rsidR="00C841CC" w:rsidRPr="00A77319" w:rsidRDefault="00C841CC" w:rsidP="00783539">
      <w:pPr>
        <w:ind w:firstLine="1418"/>
        <w:jc w:val="both"/>
        <w:rPr>
          <w:b/>
          <w:sz w:val="24"/>
          <w:szCs w:val="24"/>
        </w:rPr>
      </w:pPr>
      <w:r w:rsidRPr="00A77319">
        <w:rPr>
          <w:b/>
          <w:sz w:val="24"/>
          <w:szCs w:val="24"/>
        </w:rPr>
        <w:t>GABINETE DO PREFEITO MUNICIPAL DE SORRISO, ESTADO DE MATO GROSSO, EM 22 DE NOVEMBRO DE 2006.</w:t>
      </w:r>
    </w:p>
    <w:p w14:paraId="7AEA3B59" w14:textId="77777777" w:rsidR="00C841CC" w:rsidRPr="00A77319" w:rsidRDefault="00C841CC" w:rsidP="00A77319">
      <w:pPr>
        <w:ind w:firstLine="567"/>
        <w:jc w:val="both"/>
        <w:rPr>
          <w:b/>
          <w:sz w:val="24"/>
          <w:szCs w:val="24"/>
        </w:rPr>
      </w:pPr>
    </w:p>
    <w:p w14:paraId="0DC7AA5E" w14:textId="77777777" w:rsidR="00C841CC" w:rsidRPr="00A77319" w:rsidRDefault="00C841CC" w:rsidP="00A77319">
      <w:pPr>
        <w:ind w:firstLine="567"/>
        <w:jc w:val="both"/>
        <w:rPr>
          <w:b/>
          <w:sz w:val="24"/>
          <w:szCs w:val="24"/>
        </w:rPr>
      </w:pPr>
    </w:p>
    <w:p w14:paraId="3FDF9C8F" w14:textId="77777777" w:rsidR="00C841CC" w:rsidRPr="00A77319" w:rsidRDefault="00C841CC" w:rsidP="00A77319">
      <w:pPr>
        <w:jc w:val="center"/>
        <w:rPr>
          <w:sz w:val="24"/>
          <w:szCs w:val="24"/>
        </w:rPr>
      </w:pPr>
      <w:r w:rsidRPr="00A77319">
        <w:rPr>
          <w:b/>
          <w:sz w:val="24"/>
          <w:szCs w:val="24"/>
        </w:rPr>
        <w:t>DILCEU ROSSATO</w:t>
      </w:r>
    </w:p>
    <w:p w14:paraId="0085ED93" w14:textId="77777777" w:rsidR="00C841CC" w:rsidRPr="00A77319" w:rsidRDefault="00C841CC" w:rsidP="00A77319">
      <w:pPr>
        <w:tabs>
          <w:tab w:val="left" w:pos="5500"/>
        </w:tabs>
        <w:jc w:val="center"/>
        <w:rPr>
          <w:bCs/>
          <w:sz w:val="24"/>
          <w:szCs w:val="24"/>
        </w:rPr>
      </w:pPr>
      <w:r w:rsidRPr="00A77319">
        <w:rPr>
          <w:bCs/>
          <w:sz w:val="24"/>
          <w:szCs w:val="24"/>
        </w:rPr>
        <w:t>Prefeito Municipal</w:t>
      </w:r>
    </w:p>
    <w:p w14:paraId="2CF7C8CA" w14:textId="1B35B10F" w:rsidR="00C841CC" w:rsidRDefault="00C841CC" w:rsidP="00A77319">
      <w:pPr>
        <w:tabs>
          <w:tab w:val="left" w:pos="5500"/>
        </w:tabs>
        <w:jc w:val="both"/>
        <w:rPr>
          <w:bCs/>
          <w:sz w:val="24"/>
          <w:szCs w:val="24"/>
        </w:rPr>
      </w:pPr>
    </w:p>
    <w:p w14:paraId="75D63A27" w14:textId="77777777" w:rsidR="00A77319" w:rsidRPr="00A77319" w:rsidRDefault="00A77319" w:rsidP="00A77319">
      <w:pPr>
        <w:tabs>
          <w:tab w:val="left" w:pos="5500"/>
        </w:tabs>
        <w:jc w:val="both"/>
        <w:rPr>
          <w:bCs/>
          <w:sz w:val="24"/>
          <w:szCs w:val="24"/>
        </w:rPr>
      </w:pPr>
    </w:p>
    <w:p w14:paraId="63C9F603" w14:textId="77777777" w:rsidR="00C841CC" w:rsidRPr="00A77319" w:rsidRDefault="00C841CC" w:rsidP="00A77319">
      <w:pPr>
        <w:tabs>
          <w:tab w:val="left" w:pos="1701"/>
          <w:tab w:val="left" w:pos="7797"/>
        </w:tabs>
        <w:jc w:val="both"/>
        <w:rPr>
          <w:b/>
          <w:sz w:val="24"/>
          <w:szCs w:val="24"/>
        </w:rPr>
      </w:pPr>
      <w:r w:rsidRPr="00A77319">
        <w:rPr>
          <w:b/>
          <w:sz w:val="24"/>
          <w:szCs w:val="24"/>
        </w:rPr>
        <w:t>REGISTRE-SE. PUBLEQUE-SE. CUMPRE-SE.</w:t>
      </w:r>
    </w:p>
    <w:sectPr w:rsidR="00C841CC" w:rsidRPr="00A77319" w:rsidSect="00C841CC">
      <w:headerReference w:type="default" r:id="rId7"/>
      <w:pgSz w:w="11907" w:h="16840" w:code="9"/>
      <w:pgMar w:top="2552" w:right="1134" w:bottom="166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58BBD" w14:textId="77777777" w:rsidR="00373234" w:rsidRDefault="00373234">
      <w:r>
        <w:separator/>
      </w:r>
    </w:p>
  </w:endnote>
  <w:endnote w:type="continuationSeparator" w:id="0">
    <w:p w14:paraId="7BCBA2D9" w14:textId="77777777" w:rsidR="00373234" w:rsidRDefault="0037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776FA" w14:textId="77777777" w:rsidR="00373234" w:rsidRDefault="00373234">
      <w:r>
        <w:separator/>
      </w:r>
    </w:p>
  </w:footnote>
  <w:footnote w:type="continuationSeparator" w:id="0">
    <w:p w14:paraId="41BEDD31" w14:textId="77777777" w:rsidR="00373234" w:rsidRDefault="0037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3182" w14:textId="77777777" w:rsidR="00D76F23" w:rsidRDefault="00D76F23">
    <w:pPr>
      <w:jc w:val="center"/>
      <w:rPr>
        <w:b/>
        <w:sz w:val="28"/>
      </w:rPr>
    </w:pPr>
  </w:p>
  <w:p w14:paraId="48671002" w14:textId="77777777" w:rsidR="00D76F23" w:rsidRDefault="00D76F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51C54"/>
    <w:multiLevelType w:val="hybridMultilevel"/>
    <w:tmpl w:val="7D603ABE"/>
    <w:lvl w:ilvl="0" w:tplc="37483E4C">
      <w:start w:val="1"/>
      <w:numFmt w:val="lowerLetter"/>
      <w:lvlText w:val="%1)"/>
      <w:lvlJc w:val="left"/>
      <w:pPr>
        <w:tabs>
          <w:tab w:val="num" w:pos="2340"/>
        </w:tabs>
        <w:ind w:left="23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1CC"/>
    <w:rsid w:val="00042129"/>
    <w:rsid w:val="00373234"/>
    <w:rsid w:val="00783539"/>
    <w:rsid w:val="0082630D"/>
    <w:rsid w:val="00A77319"/>
    <w:rsid w:val="00C841CC"/>
    <w:rsid w:val="00D76F23"/>
    <w:rsid w:val="00EF2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07135A6"/>
  <w15:chartTrackingRefBased/>
  <w15:docId w15:val="{B8B6E3E6-FB83-4B45-B76D-8154B2C8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6">
    <w:name w:val="heading 6"/>
    <w:basedOn w:val="Normal"/>
    <w:next w:val="Normal"/>
    <w:qFormat/>
    <w:rsid w:val="00C841CC"/>
    <w:pPr>
      <w:keepNext/>
      <w:jc w:val="both"/>
      <w:outlineLvl w:val="5"/>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C841CC"/>
    <w:pPr>
      <w:tabs>
        <w:tab w:val="left" w:pos="1134"/>
      </w:tabs>
      <w:ind w:firstLine="1134"/>
      <w:jc w:val="both"/>
    </w:pPr>
    <w:rPr>
      <w:rFonts w:ascii="Goudy Old Style ATT" w:hAnsi="Goudy Old Style ATT"/>
      <w:sz w:val="28"/>
    </w:rPr>
  </w:style>
  <w:style w:type="paragraph" w:styleId="Textoembloco">
    <w:name w:val="Block Text"/>
    <w:basedOn w:val="Normal"/>
    <w:rsid w:val="00C841CC"/>
    <w:pPr>
      <w:ind w:left="426" w:right="-1296" w:firstLine="7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897</Words>
  <Characters>4848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5</cp:revision>
  <cp:lastPrinted>2015-04-13T15:33:00Z</cp:lastPrinted>
  <dcterms:created xsi:type="dcterms:W3CDTF">2019-09-02T16:03:00Z</dcterms:created>
  <dcterms:modified xsi:type="dcterms:W3CDTF">2019-09-06T12:18:00Z</dcterms:modified>
</cp:coreProperties>
</file>