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800" w:rsidRDefault="002E6F78" w:rsidP="00E14E80">
      <w:pPr>
        <w:pStyle w:val="Ttulo1"/>
        <w:ind w:left="3402" w:firstLine="0"/>
        <w:rPr>
          <w:rFonts w:ascii="Times New Roman" w:hAnsi="Times New Roman" w:cs="Times New Roman"/>
        </w:rPr>
      </w:pPr>
      <w:r w:rsidRPr="006F3A0C">
        <w:rPr>
          <w:rFonts w:ascii="Times New Roman" w:hAnsi="Times New Roman" w:cs="Times New Roman"/>
        </w:rPr>
        <w:t xml:space="preserve">EMENDA </w:t>
      </w:r>
      <w:r w:rsidR="00FA0FB6" w:rsidRPr="006F3A0C">
        <w:rPr>
          <w:rFonts w:ascii="Times New Roman" w:hAnsi="Times New Roman" w:cs="Times New Roman"/>
        </w:rPr>
        <w:t>Nº 0</w:t>
      </w:r>
      <w:r w:rsidR="00402800">
        <w:rPr>
          <w:rFonts w:ascii="Times New Roman" w:hAnsi="Times New Roman" w:cs="Times New Roman"/>
        </w:rPr>
        <w:t>3</w:t>
      </w:r>
    </w:p>
    <w:p w:rsidR="00402800" w:rsidRDefault="00402800" w:rsidP="00E14E80">
      <w:pPr>
        <w:pStyle w:val="Ttulo1"/>
        <w:ind w:left="3402" w:firstLine="0"/>
        <w:rPr>
          <w:rFonts w:ascii="Times New Roman" w:hAnsi="Times New Roman" w:cs="Times New Roman"/>
        </w:rPr>
      </w:pPr>
    </w:p>
    <w:p w:rsidR="002E6F78" w:rsidRPr="009A5A0F" w:rsidRDefault="00EA75B2" w:rsidP="00E14E80">
      <w:pPr>
        <w:pStyle w:val="Ttulo1"/>
        <w:ind w:left="3402" w:firstLine="0"/>
        <w:rPr>
          <w:rFonts w:ascii="Times New Roman" w:hAnsi="Times New Roman" w:cs="Times New Roman"/>
        </w:rPr>
      </w:pPr>
      <w:r>
        <w:rPr>
          <w:rFonts w:ascii="Times New Roman" w:hAnsi="Times New Roman" w:cs="Times New Roman"/>
        </w:rPr>
        <w:t>ADITIVA</w:t>
      </w:r>
      <w:r w:rsidR="002E6F78" w:rsidRPr="006F3A0C">
        <w:rPr>
          <w:rFonts w:ascii="Times New Roman" w:hAnsi="Times New Roman" w:cs="Times New Roman"/>
        </w:rPr>
        <w:t xml:space="preserve"> AO PROJETO DE LEI Nº</w:t>
      </w:r>
      <w:r w:rsidR="00FE76C8">
        <w:rPr>
          <w:rFonts w:ascii="Times New Roman" w:hAnsi="Times New Roman" w:cs="Times New Roman"/>
        </w:rPr>
        <w:t xml:space="preserve"> 65</w:t>
      </w:r>
      <w:r w:rsidR="002E6F78" w:rsidRPr="006F3A0C">
        <w:rPr>
          <w:rFonts w:ascii="Times New Roman" w:hAnsi="Times New Roman" w:cs="Times New Roman"/>
        </w:rPr>
        <w:t>/20</w:t>
      </w:r>
      <w:r w:rsidR="006F3A0C">
        <w:rPr>
          <w:rFonts w:ascii="Times New Roman" w:hAnsi="Times New Roman" w:cs="Times New Roman"/>
        </w:rPr>
        <w:t>20</w:t>
      </w:r>
    </w:p>
    <w:p w:rsidR="002E6F78" w:rsidRPr="009A5A0F" w:rsidRDefault="002E6F78" w:rsidP="00E14E80">
      <w:pPr>
        <w:ind w:left="3402"/>
        <w:jc w:val="both"/>
        <w:rPr>
          <w:sz w:val="24"/>
          <w:szCs w:val="24"/>
        </w:rPr>
      </w:pPr>
    </w:p>
    <w:p w:rsidR="00EA1A3A" w:rsidRPr="009A5A0F" w:rsidRDefault="00EA1A3A" w:rsidP="00E14E80">
      <w:pPr>
        <w:ind w:left="3402"/>
        <w:jc w:val="both"/>
        <w:rPr>
          <w:sz w:val="24"/>
          <w:szCs w:val="24"/>
        </w:rPr>
      </w:pPr>
    </w:p>
    <w:p w:rsidR="00964E66" w:rsidRDefault="00964E66" w:rsidP="00964E66">
      <w:pPr>
        <w:ind w:left="3402"/>
        <w:jc w:val="both"/>
        <w:rPr>
          <w:b/>
          <w:bCs/>
          <w:sz w:val="24"/>
          <w:szCs w:val="24"/>
        </w:rPr>
      </w:pPr>
      <w:r>
        <w:rPr>
          <w:bCs/>
          <w:sz w:val="24"/>
          <w:szCs w:val="24"/>
        </w:rPr>
        <w:t>Data</w:t>
      </w:r>
      <w:r>
        <w:rPr>
          <w:b/>
          <w:bCs/>
          <w:sz w:val="24"/>
          <w:szCs w:val="24"/>
        </w:rPr>
        <w:t xml:space="preserve">: </w:t>
      </w:r>
      <w:r>
        <w:rPr>
          <w:bCs/>
          <w:sz w:val="24"/>
          <w:szCs w:val="24"/>
        </w:rPr>
        <w:t>23 de outubro de 2020</w:t>
      </w:r>
    </w:p>
    <w:p w:rsidR="00964E66" w:rsidRDefault="00964E66" w:rsidP="00964E66">
      <w:pPr>
        <w:ind w:left="3402"/>
        <w:jc w:val="both"/>
        <w:rPr>
          <w:b/>
          <w:bCs/>
          <w:sz w:val="24"/>
          <w:szCs w:val="24"/>
        </w:rPr>
      </w:pPr>
    </w:p>
    <w:p w:rsidR="00964E66" w:rsidRDefault="00964E66" w:rsidP="00964E66">
      <w:pPr>
        <w:ind w:left="3402"/>
        <w:jc w:val="both"/>
        <w:rPr>
          <w:b/>
          <w:bCs/>
          <w:sz w:val="24"/>
          <w:szCs w:val="24"/>
        </w:rPr>
      </w:pPr>
    </w:p>
    <w:p w:rsidR="00964E66" w:rsidRDefault="00D326E5" w:rsidP="00964E66">
      <w:pPr>
        <w:pStyle w:val="Recuodecorpodetexto"/>
        <w:ind w:left="3410"/>
        <w:rPr>
          <w:b w:val="0"/>
          <w:lang w:val="pt-BR"/>
        </w:rPr>
      </w:pPr>
      <w:r>
        <w:rPr>
          <w:b w:val="0"/>
          <w:lang w:val="pt-BR"/>
        </w:rPr>
        <w:t>Cria ação</w:t>
      </w:r>
      <w:r w:rsidR="00964E66">
        <w:rPr>
          <w:b w:val="0"/>
          <w:lang w:val="pt-BR"/>
        </w:rPr>
        <w:t xml:space="preserve"> no Anexo de Metas Fiscais do Projeto de Lei nº 65/2020, que: “</w:t>
      </w:r>
      <w:r w:rsidR="00964E66">
        <w:rPr>
          <w:b w:val="0"/>
        </w:rPr>
        <w:t>Dispõe sobre as Diretrizes para a elaboração da Lei Orçamentária de 20</w:t>
      </w:r>
      <w:r w:rsidR="00964E66">
        <w:rPr>
          <w:b w:val="0"/>
          <w:lang w:val="pt-BR"/>
        </w:rPr>
        <w:t>21</w:t>
      </w:r>
      <w:r w:rsidR="00964E66">
        <w:rPr>
          <w:b w:val="0"/>
        </w:rPr>
        <w:t>, e dá outras providências</w:t>
      </w:r>
      <w:r w:rsidR="00964E66">
        <w:rPr>
          <w:b w:val="0"/>
          <w:lang w:val="pt-BR"/>
        </w:rPr>
        <w:t>”</w:t>
      </w:r>
      <w:r w:rsidR="00964E66">
        <w:rPr>
          <w:b w:val="0"/>
        </w:rPr>
        <w:t>.</w:t>
      </w:r>
    </w:p>
    <w:p w:rsidR="00964E66" w:rsidRDefault="00964E66" w:rsidP="00964E66">
      <w:pPr>
        <w:pStyle w:val="Recuodecorpodetexto"/>
        <w:ind w:left="3410"/>
        <w:rPr>
          <w:b w:val="0"/>
          <w:lang w:val="pt-BR"/>
        </w:rPr>
      </w:pPr>
    </w:p>
    <w:p w:rsidR="00964E66" w:rsidRDefault="00964E66" w:rsidP="00964E66">
      <w:pPr>
        <w:pStyle w:val="Recuodecorpodetexto"/>
        <w:ind w:left="3410"/>
        <w:rPr>
          <w:b w:val="0"/>
          <w:lang w:val="pt-BR"/>
        </w:rPr>
      </w:pPr>
    </w:p>
    <w:p w:rsidR="00964E66" w:rsidRDefault="00964E66" w:rsidP="00964E66">
      <w:pPr>
        <w:pStyle w:val="Recuodecorpodetexto"/>
        <w:ind w:left="3402"/>
        <w:rPr>
          <w:b w:val="0"/>
          <w:bCs w:val="0"/>
        </w:rPr>
      </w:pPr>
      <w:r>
        <w:rPr>
          <w:lang w:val="pt-BR"/>
        </w:rPr>
        <w:t>DAMIANI NA TV – PSDB e MAUR</w:t>
      </w:r>
      <w:r w:rsidR="002B14AE">
        <w:rPr>
          <w:lang w:val="pt-BR"/>
        </w:rPr>
        <w:t>I</w:t>
      </w:r>
      <w:r>
        <w:rPr>
          <w:lang w:val="pt-BR"/>
        </w:rPr>
        <w:t>CIO</w:t>
      </w:r>
      <w:r w:rsidR="002B14AE">
        <w:rPr>
          <w:lang w:val="pt-BR"/>
        </w:rPr>
        <w:t xml:space="preserve"> GOMES</w:t>
      </w:r>
      <w:r>
        <w:rPr>
          <w:lang w:val="pt-BR"/>
        </w:rPr>
        <w:t xml:space="preserve"> – PSB,</w:t>
      </w:r>
      <w:r>
        <w:rPr>
          <w:b w:val="0"/>
          <w:lang w:val="pt-BR"/>
        </w:rPr>
        <w:t xml:space="preserve"> vereadores</w:t>
      </w:r>
      <w:r>
        <w:rPr>
          <w:b w:val="0"/>
        </w:rPr>
        <w:t xml:space="preserve"> com assento nesta Casa, </w:t>
      </w:r>
      <w:r>
        <w:rPr>
          <w:b w:val="0"/>
          <w:bCs w:val="0"/>
        </w:rPr>
        <w:t xml:space="preserve">com fulcro no § </w:t>
      </w:r>
      <w:r>
        <w:rPr>
          <w:b w:val="0"/>
          <w:bCs w:val="0"/>
          <w:lang w:val="pt-BR"/>
        </w:rPr>
        <w:t>4</w:t>
      </w:r>
      <w:r>
        <w:rPr>
          <w:b w:val="0"/>
          <w:bCs w:val="0"/>
        </w:rPr>
        <w:t>º do Artigo 126 do Regimento Interno, encaminha</w:t>
      </w:r>
      <w:r>
        <w:rPr>
          <w:b w:val="0"/>
          <w:bCs w:val="0"/>
          <w:lang w:val="pt-BR"/>
        </w:rPr>
        <w:t>m</w:t>
      </w:r>
      <w:r>
        <w:rPr>
          <w:b w:val="0"/>
          <w:bCs w:val="0"/>
        </w:rPr>
        <w:t xml:space="preserve"> para deliberação do Soberano Plenário, a seguinte Emenda</w:t>
      </w:r>
      <w:r>
        <w:rPr>
          <w:b w:val="0"/>
          <w:bCs w:val="0"/>
          <w:lang w:val="pt-BR"/>
        </w:rPr>
        <w:t xml:space="preserve"> Aditiva </w:t>
      </w:r>
      <w:r>
        <w:rPr>
          <w:b w:val="0"/>
          <w:bCs w:val="0"/>
        </w:rPr>
        <w:t xml:space="preserve">ao Projeto de Lei nº </w:t>
      </w:r>
      <w:r>
        <w:rPr>
          <w:b w:val="0"/>
          <w:bCs w:val="0"/>
          <w:lang w:val="pt-BR"/>
        </w:rPr>
        <w:t>65/2020</w:t>
      </w:r>
      <w:r>
        <w:rPr>
          <w:b w:val="0"/>
          <w:bCs w:val="0"/>
        </w:rPr>
        <w:t>:</w:t>
      </w:r>
    </w:p>
    <w:p w:rsidR="00964E66" w:rsidRDefault="00964E66" w:rsidP="00964E66">
      <w:pPr>
        <w:pStyle w:val="Recuodecorpodetexto"/>
        <w:ind w:left="3402"/>
        <w:rPr>
          <w:b w:val="0"/>
          <w:bCs w:val="0"/>
        </w:rPr>
      </w:pPr>
    </w:p>
    <w:p w:rsidR="00964E66" w:rsidRDefault="00964E66" w:rsidP="00964E66">
      <w:pPr>
        <w:rPr>
          <w:sz w:val="24"/>
          <w:szCs w:val="24"/>
          <w:lang w:val="x-none"/>
        </w:rPr>
      </w:pPr>
    </w:p>
    <w:p w:rsidR="00964E66" w:rsidRDefault="00964E66" w:rsidP="00964E66">
      <w:pPr>
        <w:pStyle w:val="Recuodecorpodetexto"/>
        <w:ind w:left="0" w:firstLine="1418"/>
        <w:rPr>
          <w:b w:val="0"/>
          <w:bCs w:val="0"/>
          <w:lang w:val="pt-BR"/>
        </w:rPr>
      </w:pPr>
      <w:r w:rsidRPr="002B14AE">
        <w:rPr>
          <w:b w:val="0"/>
          <w:bCs w:val="0"/>
        </w:rPr>
        <w:t xml:space="preserve">Art. 1º </w:t>
      </w:r>
      <w:r w:rsidRPr="002B14AE">
        <w:rPr>
          <w:b w:val="0"/>
          <w:bCs w:val="0"/>
          <w:lang w:val="pt-BR"/>
        </w:rPr>
        <w:t xml:space="preserve"> Cria</w:t>
      </w:r>
      <w:r>
        <w:rPr>
          <w:b w:val="0"/>
          <w:bCs w:val="0"/>
          <w:lang w:val="pt-BR"/>
        </w:rPr>
        <w:t xml:space="preserve"> a ação abaixo especificada no</w:t>
      </w:r>
      <w:r>
        <w:rPr>
          <w:b w:val="0"/>
          <w:bCs w:val="0"/>
        </w:rPr>
        <w:t xml:space="preserve"> Projeto de Lei nº </w:t>
      </w:r>
      <w:r>
        <w:rPr>
          <w:b w:val="0"/>
          <w:bCs w:val="0"/>
          <w:lang w:val="pt-BR"/>
        </w:rPr>
        <w:t>65/2020</w:t>
      </w:r>
      <w:r>
        <w:rPr>
          <w:b w:val="0"/>
          <w:bCs w:val="0"/>
        </w:rPr>
        <w:t xml:space="preserve">, </w:t>
      </w:r>
      <w:r>
        <w:rPr>
          <w:b w:val="0"/>
          <w:bCs w:val="0"/>
          <w:lang w:val="pt-BR"/>
        </w:rPr>
        <w:t>passando a vigorar com a seguinte redação</w:t>
      </w:r>
      <w:r>
        <w:rPr>
          <w:b w:val="0"/>
          <w:bCs w:val="0"/>
        </w:rPr>
        <w:t>:</w:t>
      </w:r>
    </w:p>
    <w:p w:rsidR="00964E66" w:rsidRDefault="00964E66" w:rsidP="00964E66">
      <w:pPr>
        <w:pStyle w:val="Recuodecorpodetexto"/>
        <w:ind w:left="0" w:firstLine="720"/>
        <w:rPr>
          <w:b w:val="0"/>
          <w:bCs w:val="0"/>
          <w:lang w:val="pt-BR"/>
        </w:rPr>
      </w:pPr>
    </w:p>
    <w:tbl>
      <w:tblPr>
        <w:tblW w:w="12641" w:type="dxa"/>
        <w:tblInd w:w="70" w:type="dxa"/>
        <w:tblCellMar>
          <w:left w:w="70" w:type="dxa"/>
          <w:right w:w="70" w:type="dxa"/>
        </w:tblCellMar>
        <w:tblLook w:val="04A0" w:firstRow="1" w:lastRow="0" w:firstColumn="1" w:lastColumn="0" w:noHBand="0" w:noVBand="1"/>
      </w:tblPr>
      <w:tblGrid>
        <w:gridCol w:w="2220"/>
        <w:gridCol w:w="2458"/>
        <w:gridCol w:w="1665"/>
        <w:gridCol w:w="681"/>
        <w:gridCol w:w="1897"/>
        <w:gridCol w:w="1044"/>
        <w:gridCol w:w="980"/>
        <w:gridCol w:w="1696"/>
      </w:tblGrid>
      <w:tr w:rsidR="00964E66" w:rsidTr="00964E66">
        <w:trPr>
          <w:trHeight w:val="300"/>
        </w:trPr>
        <w:tc>
          <w:tcPr>
            <w:tcW w:w="4678" w:type="dxa"/>
            <w:gridSpan w:val="2"/>
            <w:tcBorders>
              <w:top w:val="single" w:sz="4" w:space="0" w:color="auto"/>
              <w:left w:val="single" w:sz="4" w:space="0" w:color="auto"/>
              <w:bottom w:val="single" w:sz="4" w:space="0" w:color="auto"/>
              <w:right w:val="single" w:sz="4" w:space="0" w:color="auto"/>
            </w:tcBorders>
            <w:noWrap/>
            <w:vAlign w:val="bottom"/>
            <w:hideMark/>
          </w:tcPr>
          <w:p w:rsidR="00964E66" w:rsidRDefault="00964E66">
            <w:pPr>
              <w:spacing w:line="276" w:lineRule="auto"/>
              <w:jc w:val="center"/>
              <w:rPr>
                <w:b/>
                <w:bCs/>
                <w:color w:val="000000"/>
                <w:sz w:val="24"/>
                <w:szCs w:val="24"/>
                <w:lang w:eastAsia="en-US"/>
              </w:rPr>
            </w:pPr>
            <w:r>
              <w:rPr>
                <w:b/>
                <w:bCs/>
                <w:color w:val="000000"/>
                <w:sz w:val="24"/>
                <w:szCs w:val="24"/>
                <w:lang w:eastAsia="en-US"/>
              </w:rPr>
              <w:t xml:space="preserve">Órgão: 15 – Fundo Municipal de Saúde </w:t>
            </w:r>
          </w:p>
        </w:tc>
        <w:tc>
          <w:tcPr>
            <w:tcW w:w="7963" w:type="dxa"/>
            <w:gridSpan w:val="6"/>
            <w:tcBorders>
              <w:top w:val="single" w:sz="4" w:space="0" w:color="auto"/>
              <w:left w:val="nil"/>
              <w:bottom w:val="single" w:sz="4" w:space="0" w:color="auto"/>
              <w:right w:val="single" w:sz="4" w:space="0" w:color="000000"/>
            </w:tcBorders>
            <w:noWrap/>
            <w:vAlign w:val="bottom"/>
            <w:hideMark/>
          </w:tcPr>
          <w:p w:rsidR="00964E66" w:rsidRDefault="00964E66">
            <w:pPr>
              <w:spacing w:line="276" w:lineRule="auto"/>
              <w:jc w:val="center"/>
              <w:rPr>
                <w:b/>
                <w:bCs/>
                <w:color w:val="000000"/>
                <w:sz w:val="24"/>
                <w:szCs w:val="24"/>
                <w:lang w:eastAsia="en-US"/>
              </w:rPr>
            </w:pPr>
            <w:r>
              <w:rPr>
                <w:b/>
                <w:bCs/>
                <w:color w:val="000000"/>
                <w:sz w:val="24"/>
                <w:szCs w:val="24"/>
                <w:lang w:eastAsia="en-US"/>
              </w:rPr>
              <w:t>Unidade Orçamentária: 001 – Diretor do Fundo</w:t>
            </w:r>
          </w:p>
        </w:tc>
      </w:tr>
      <w:tr w:rsidR="00964E66" w:rsidTr="00964E66">
        <w:trPr>
          <w:trHeight w:val="300"/>
        </w:trPr>
        <w:tc>
          <w:tcPr>
            <w:tcW w:w="2220" w:type="dxa"/>
            <w:vMerge w:val="restart"/>
            <w:tcBorders>
              <w:top w:val="nil"/>
              <w:left w:val="single" w:sz="4" w:space="0" w:color="auto"/>
              <w:bottom w:val="single" w:sz="4" w:space="0" w:color="000000"/>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Programa</w:t>
            </w:r>
          </w:p>
        </w:tc>
        <w:tc>
          <w:tcPr>
            <w:tcW w:w="2458" w:type="dxa"/>
            <w:vMerge w:val="restart"/>
            <w:tcBorders>
              <w:top w:val="nil"/>
              <w:left w:val="single" w:sz="4" w:space="0" w:color="auto"/>
              <w:bottom w:val="single" w:sz="4" w:space="0" w:color="000000"/>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Função e subfunção</w:t>
            </w:r>
          </w:p>
        </w:tc>
        <w:tc>
          <w:tcPr>
            <w:tcW w:w="2346" w:type="dxa"/>
            <w:gridSpan w:val="2"/>
            <w:tcBorders>
              <w:top w:val="single" w:sz="4" w:space="0" w:color="auto"/>
              <w:left w:val="nil"/>
              <w:bottom w:val="single" w:sz="4" w:space="0" w:color="auto"/>
              <w:right w:val="single" w:sz="4" w:space="0" w:color="000000"/>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Ação</w:t>
            </w:r>
          </w:p>
        </w:tc>
        <w:tc>
          <w:tcPr>
            <w:tcW w:w="5617" w:type="dxa"/>
            <w:gridSpan w:val="4"/>
            <w:tcBorders>
              <w:top w:val="single" w:sz="4" w:space="0" w:color="auto"/>
              <w:left w:val="nil"/>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Indicadores Físico/financeiro</w:t>
            </w:r>
          </w:p>
        </w:tc>
      </w:tr>
      <w:tr w:rsidR="00964E66" w:rsidTr="00964E66">
        <w:trPr>
          <w:trHeight w:val="450"/>
        </w:trPr>
        <w:tc>
          <w:tcPr>
            <w:tcW w:w="0" w:type="auto"/>
            <w:vMerge/>
            <w:tcBorders>
              <w:top w:val="nil"/>
              <w:left w:val="single" w:sz="4" w:space="0" w:color="auto"/>
              <w:bottom w:val="single" w:sz="4" w:space="0" w:color="000000"/>
              <w:right w:val="single" w:sz="4" w:space="0" w:color="auto"/>
            </w:tcBorders>
            <w:vAlign w:val="center"/>
            <w:hideMark/>
          </w:tcPr>
          <w:p w:rsidR="00964E66" w:rsidRDefault="00964E66">
            <w:pPr>
              <w:spacing w:line="276" w:lineRule="auto"/>
              <w:rPr>
                <w:b/>
                <w:bCs/>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64E66" w:rsidRDefault="00964E66">
            <w:pPr>
              <w:spacing w:line="276" w:lineRule="auto"/>
              <w:rPr>
                <w:b/>
                <w:bCs/>
                <w:color w:val="000000"/>
                <w:sz w:val="24"/>
                <w:szCs w:val="24"/>
                <w:lang w:eastAsia="en-US"/>
              </w:rPr>
            </w:pPr>
          </w:p>
        </w:tc>
        <w:tc>
          <w:tcPr>
            <w:tcW w:w="1665" w:type="dxa"/>
            <w:tcBorders>
              <w:top w:val="nil"/>
              <w:left w:val="nil"/>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Descrição</w:t>
            </w:r>
          </w:p>
        </w:tc>
        <w:tc>
          <w:tcPr>
            <w:tcW w:w="681" w:type="dxa"/>
            <w:tcBorders>
              <w:top w:val="nil"/>
              <w:left w:val="nil"/>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Tipo</w:t>
            </w:r>
          </w:p>
        </w:tc>
        <w:tc>
          <w:tcPr>
            <w:tcW w:w="1897" w:type="dxa"/>
            <w:tcBorders>
              <w:top w:val="nil"/>
              <w:left w:val="nil"/>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Produto</w:t>
            </w:r>
          </w:p>
        </w:tc>
        <w:tc>
          <w:tcPr>
            <w:tcW w:w="1044" w:type="dxa"/>
            <w:tcBorders>
              <w:top w:val="nil"/>
              <w:left w:val="nil"/>
              <w:bottom w:val="single" w:sz="4" w:space="0" w:color="auto"/>
              <w:right w:val="single" w:sz="4" w:space="0" w:color="auto"/>
            </w:tcBorders>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Unidade de Medida</w:t>
            </w:r>
          </w:p>
        </w:tc>
        <w:tc>
          <w:tcPr>
            <w:tcW w:w="980" w:type="dxa"/>
            <w:tcBorders>
              <w:top w:val="nil"/>
              <w:left w:val="nil"/>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Meta Física</w:t>
            </w:r>
          </w:p>
        </w:tc>
        <w:tc>
          <w:tcPr>
            <w:tcW w:w="1696" w:type="dxa"/>
            <w:tcBorders>
              <w:top w:val="nil"/>
              <w:left w:val="nil"/>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Meta Financeira</w:t>
            </w:r>
          </w:p>
        </w:tc>
      </w:tr>
      <w:tr w:rsidR="00964E66" w:rsidTr="00964E66">
        <w:trPr>
          <w:trHeight w:val="675"/>
        </w:trPr>
        <w:tc>
          <w:tcPr>
            <w:tcW w:w="2220" w:type="dxa"/>
            <w:tcBorders>
              <w:top w:val="nil"/>
              <w:left w:val="single" w:sz="4" w:space="0" w:color="auto"/>
              <w:bottom w:val="single" w:sz="4" w:space="0" w:color="auto"/>
              <w:right w:val="single" w:sz="4" w:space="0" w:color="auto"/>
            </w:tcBorders>
            <w:noWrap/>
            <w:vAlign w:val="center"/>
            <w:hideMark/>
          </w:tcPr>
          <w:p w:rsidR="00964E66" w:rsidRDefault="00964E66">
            <w:pPr>
              <w:spacing w:line="276" w:lineRule="auto"/>
              <w:rPr>
                <w:color w:val="000000"/>
                <w:sz w:val="24"/>
                <w:szCs w:val="24"/>
                <w:lang w:eastAsia="en-US"/>
              </w:rPr>
            </w:pPr>
            <w:r>
              <w:rPr>
                <w:color w:val="000000"/>
                <w:sz w:val="24"/>
                <w:szCs w:val="24"/>
                <w:lang w:eastAsia="en-US"/>
              </w:rPr>
              <w:t>0005 – Média e Alta complexidade</w:t>
            </w:r>
          </w:p>
        </w:tc>
        <w:tc>
          <w:tcPr>
            <w:tcW w:w="2458" w:type="dxa"/>
            <w:tcBorders>
              <w:top w:val="nil"/>
              <w:left w:val="nil"/>
              <w:bottom w:val="single" w:sz="4" w:space="0" w:color="auto"/>
              <w:right w:val="single" w:sz="4" w:space="0" w:color="auto"/>
            </w:tcBorders>
            <w:vAlign w:val="center"/>
            <w:hideMark/>
          </w:tcPr>
          <w:p w:rsidR="00964E66" w:rsidRDefault="00964E66">
            <w:pPr>
              <w:spacing w:line="276" w:lineRule="auto"/>
              <w:rPr>
                <w:color w:val="000000"/>
                <w:sz w:val="24"/>
                <w:szCs w:val="24"/>
                <w:lang w:eastAsia="en-US"/>
              </w:rPr>
            </w:pPr>
            <w:r>
              <w:rPr>
                <w:color w:val="000000"/>
                <w:sz w:val="24"/>
                <w:szCs w:val="24"/>
                <w:lang w:eastAsia="en-US"/>
              </w:rPr>
              <w:t>10 – Saúde</w:t>
            </w:r>
          </w:p>
          <w:p w:rsidR="00964E66" w:rsidRDefault="00964E66">
            <w:pPr>
              <w:spacing w:line="276" w:lineRule="auto"/>
              <w:jc w:val="both"/>
              <w:rPr>
                <w:color w:val="000000"/>
                <w:sz w:val="24"/>
                <w:szCs w:val="24"/>
                <w:lang w:eastAsia="en-US"/>
              </w:rPr>
            </w:pPr>
            <w:r>
              <w:rPr>
                <w:color w:val="000000"/>
                <w:sz w:val="24"/>
                <w:szCs w:val="24"/>
                <w:lang w:eastAsia="en-US"/>
              </w:rPr>
              <w:t>303 – Suporte profilático e Terapêutico</w:t>
            </w:r>
          </w:p>
        </w:tc>
        <w:tc>
          <w:tcPr>
            <w:tcW w:w="1665" w:type="dxa"/>
            <w:tcBorders>
              <w:top w:val="nil"/>
              <w:left w:val="nil"/>
              <w:bottom w:val="single" w:sz="4" w:space="0" w:color="auto"/>
              <w:right w:val="single" w:sz="4" w:space="0" w:color="auto"/>
            </w:tcBorders>
            <w:vAlign w:val="center"/>
            <w:hideMark/>
          </w:tcPr>
          <w:p w:rsidR="00964E66" w:rsidRDefault="00964E66">
            <w:pPr>
              <w:spacing w:line="276" w:lineRule="auto"/>
              <w:jc w:val="both"/>
              <w:rPr>
                <w:color w:val="000000"/>
                <w:sz w:val="24"/>
                <w:szCs w:val="24"/>
                <w:lang w:eastAsia="en-US"/>
              </w:rPr>
            </w:pPr>
            <w:r>
              <w:rPr>
                <w:color w:val="000000"/>
                <w:sz w:val="24"/>
                <w:szCs w:val="24"/>
                <w:lang w:eastAsia="en-US"/>
              </w:rPr>
              <w:t>1043 – Const. Reforma e Ampliação de Farmácias Cidadãs</w:t>
            </w:r>
          </w:p>
        </w:tc>
        <w:tc>
          <w:tcPr>
            <w:tcW w:w="681" w:type="dxa"/>
            <w:tcBorders>
              <w:top w:val="nil"/>
              <w:left w:val="nil"/>
              <w:bottom w:val="single" w:sz="4" w:space="0" w:color="auto"/>
              <w:right w:val="single" w:sz="4" w:space="0" w:color="auto"/>
            </w:tcBorders>
            <w:noWrap/>
            <w:vAlign w:val="center"/>
            <w:hideMark/>
          </w:tcPr>
          <w:p w:rsidR="00964E66" w:rsidRDefault="00964E66">
            <w:pPr>
              <w:spacing w:line="276" w:lineRule="auto"/>
              <w:jc w:val="center"/>
              <w:rPr>
                <w:color w:val="000000"/>
                <w:sz w:val="24"/>
                <w:szCs w:val="24"/>
                <w:lang w:eastAsia="en-US"/>
              </w:rPr>
            </w:pPr>
            <w:r>
              <w:rPr>
                <w:color w:val="000000"/>
                <w:sz w:val="24"/>
                <w:szCs w:val="24"/>
                <w:lang w:eastAsia="en-US"/>
              </w:rPr>
              <w:t>P</w:t>
            </w:r>
          </w:p>
        </w:tc>
        <w:tc>
          <w:tcPr>
            <w:tcW w:w="1897" w:type="dxa"/>
            <w:tcBorders>
              <w:top w:val="nil"/>
              <w:left w:val="nil"/>
              <w:bottom w:val="single" w:sz="4" w:space="0" w:color="auto"/>
              <w:right w:val="single" w:sz="4" w:space="0" w:color="auto"/>
            </w:tcBorders>
            <w:vAlign w:val="center"/>
            <w:hideMark/>
          </w:tcPr>
          <w:p w:rsidR="00964E66" w:rsidRDefault="00964E66">
            <w:pPr>
              <w:spacing w:line="276" w:lineRule="auto"/>
              <w:jc w:val="center"/>
              <w:rPr>
                <w:color w:val="000000"/>
                <w:sz w:val="24"/>
                <w:szCs w:val="24"/>
                <w:lang w:eastAsia="en-US"/>
              </w:rPr>
            </w:pPr>
            <w:r>
              <w:rPr>
                <w:color w:val="000000"/>
                <w:sz w:val="24"/>
                <w:szCs w:val="24"/>
                <w:lang w:eastAsia="en-US"/>
              </w:rPr>
              <w:t>Unidade Construída</w:t>
            </w:r>
          </w:p>
        </w:tc>
        <w:tc>
          <w:tcPr>
            <w:tcW w:w="1044" w:type="dxa"/>
            <w:tcBorders>
              <w:top w:val="nil"/>
              <w:left w:val="nil"/>
              <w:bottom w:val="single" w:sz="4" w:space="0" w:color="auto"/>
              <w:right w:val="single" w:sz="4" w:space="0" w:color="auto"/>
            </w:tcBorders>
            <w:noWrap/>
            <w:vAlign w:val="center"/>
            <w:hideMark/>
          </w:tcPr>
          <w:p w:rsidR="00964E66" w:rsidRDefault="00964E66">
            <w:pPr>
              <w:spacing w:line="276" w:lineRule="auto"/>
              <w:jc w:val="center"/>
              <w:rPr>
                <w:color w:val="000000"/>
                <w:sz w:val="24"/>
                <w:szCs w:val="24"/>
                <w:lang w:eastAsia="en-US"/>
              </w:rPr>
            </w:pPr>
            <w:r>
              <w:rPr>
                <w:color w:val="000000"/>
                <w:sz w:val="24"/>
                <w:szCs w:val="24"/>
                <w:lang w:eastAsia="en-US"/>
              </w:rPr>
              <w:t>Prédio</w:t>
            </w:r>
          </w:p>
        </w:tc>
        <w:tc>
          <w:tcPr>
            <w:tcW w:w="980" w:type="dxa"/>
            <w:tcBorders>
              <w:top w:val="nil"/>
              <w:left w:val="nil"/>
              <w:bottom w:val="single" w:sz="4" w:space="0" w:color="auto"/>
              <w:right w:val="single" w:sz="4" w:space="0" w:color="auto"/>
            </w:tcBorders>
            <w:noWrap/>
            <w:vAlign w:val="center"/>
            <w:hideMark/>
          </w:tcPr>
          <w:p w:rsidR="00964E66" w:rsidRDefault="00964E66">
            <w:pPr>
              <w:spacing w:line="276" w:lineRule="auto"/>
              <w:jc w:val="center"/>
              <w:rPr>
                <w:color w:val="000000"/>
                <w:sz w:val="24"/>
                <w:szCs w:val="24"/>
                <w:lang w:eastAsia="en-US"/>
              </w:rPr>
            </w:pPr>
            <w:r>
              <w:rPr>
                <w:color w:val="000000"/>
                <w:sz w:val="24"/>
                <w:szCs w:val="24"/>
                <w:lang w:eastAsia="en-US"/>
              </w:rPr>
              <w:t>2</w:t>
            </w:r>
          </w:p>
        </w:tc>
        <w:tc>
          <w:tcPr>
            <w:tcW w:w="1696" w:type="dxa"/>
            <w:tcBorders>
              <w:top w:val="nil"/>
              <w:left w:val="nil"/>
              <w:bottom w:val="single" w:sz="4" w:space="0" w:color="auto"/>
              <w:right w:val="single" w:sz="4" w:space="0" w:color="auto"/>
            </w:tcBorders>
            <w:noWrap/>
            <w:vAlign w:val="center"/>
            <w:hideMark/>
          </w:tcPr>
          <w:p w:rsidR="00964E66" w:rsidRDefault="00964E66">
            <w:pPr>
              <w:spacing w:line="276" w:lineRule="auto"/>
              <w:jc w:val="center"/>
              <w:rPr>
                <w:color w:val="000000"/>
                <w:sz w:val="24"/>
                <w:szCs w:val="24"/>
                <w:lang w:eastAsia="en-US"/>
              </w:rPr>
            </w:pPr>
            <w:r>
              <w:rPr>
                <w:color w:val="000000"/>
                <w:sz w:val="24"/>
                <w:szCs w:val="24"/>
                <w:lang w:eastAsia="en-US"/>
              </w:rPr>
              <w:t>800.000,00</w:t>
            </w:r>
          </w:p>
        </w:tc>
      </w:tr>
    </w:tbl>
    <w:p w:rsidR="00964E66" w:rsidRDefault="00964E66" w:rsidP="00964E66">
      <w:pPr>
        <w:pStyle w:val="Recuodecorpodetexto"/>
        <w:ind w:left="709"/>
        <w:rPr>
          <w:bCs w:val="0"/>
          <w:lang w:val="pt-BR"/>
        </w:rPr>
      </w:pPr>
    </w:p>
    <w:p w:rsidR="00964E66" w:rsidRDefault="00964E66" w:rsidP="00964E66">
      <w:pPr>
        <w:pStyle w:val="Recuodecorpodetexto"/>
        <w:ind w:left="0" w:firstLine="1418"/>
        <w:rPr>
          <w:b w:val="0"/>
          <w:bCs w:val="0"/>
          <w:lang w:val="pt-BR"/>
        </w:rPr>
      </w:pPr>
      <w:r w:rsidRPr="002B14AE">
        <w:rPr>
          <w:b w:val="0"/>
          <w:bCs w:val="0"/>
        </w:rPr>
        <w:t>Art. 2º</w:t>
      </w:r>
      <w:r>
        <w:rPr>
          <w:b w:val="0"/>
          <w:bCs w:val="0"/>
        </w:rPr>
        <w:t xml:space="preserve"> Para atender o Art. 1º desta Emenda, ficam reduzidos os recursos financeiros da </w:t>
      </w:r>
      <w:r>
        <w:rPr>
          <w:b w:val="0"/>
          <w:bCs w:val="0"/>
          <w:lang w:val="pt-BR"/>
        </w:rPr>
        <w:t>ação</w:t>
      </w:r>
      <w:r>
        <w:rPr>
          <w:b w:val="0"/>
          <w:bCs w:val="0"/>
        </w:rPr>
        <w:t xml:space="preserve"> conforme abaixo especificado</w:t>
      </w:r>
      <w:r>
        <w:rPr>
          <w:b w:val="0"/>
          <w:bCs w:val="0"/>
          <w:lang w:val="pt-BR"/>
        </w:rPr>
        <w:t>, passando a vigorar com a seguinte</w:t>
      </w:r>
      <w:r>
        <w:rPr>
          <w:b w:val="0"/>
          <w:bCs w:val="0"/>
        </w:rPr>
        <w:t xml:space="preserve"> redação: </w:t>
      </w:r>
    </w:p>
    <w:p w:rsidR="00964E66" w:rsidRDefault="00964E66" w:rsidP="00964E66">
      <w:pPr>
        <w:pStyle w:val="Recuodecorpodetexto"/>
        <w:ind w:left="0" w:firstLine="708"/>
        <w:rPr>
          <w:b w:val="0"/>
          <w:bCs w:val="0"/>
          <w:lang w:val="pt-BR"/>
        </w:rPr>
      </w:pPr>
    </w:p>
    <w:tbl>
      <w:tblPr>
        <w:tblW w:w="13183" w:type="dxa"/>
        <w:tblInd w:w="70" w:type="dxa"/>
        <w:tblCellMar>
          <w:left w:w="70" w:type="dxa"/>
          <w:right w:w="70" w:type="dxa"/>
        </w:tblCellMar>
        <w:tblLook w:val="04A0" w:firstRow="1" w:lastRow="0" w:firstColumn="1" w:lastColumn="0" w:noHBand="0" w:noVBand="1"/>
      </w:tblPr>
      <w:tblGrid>
        <w:gridCol w:w="2514"/>
        <w:gridCol w:w="2336"/>
        <w:gridCol w:w="2099"/>
        <w:gridCol w:w="664"/>
        <w:gridCol w:w="1601"/>
        <w:gridCol w:w="1243"/>
        <w:gridCol w:w="1136"/>
        <w:gridCol w:w="1520"/>
        <w:gridCol w:w="71"/>
      </w:tblGrid>
      <w:tr w:rsidR="00964E66" w:rsidTr="00964E66">
        <w:trPr>
          <w:gridAfter w:val="1"/>
          <w:wAfter w:w="72" w:type="dxa"/>
          <w:trHeight w:val="300"/>
        </w:trPr>
        <w:tc>
          <w:tcPr>
            <w:tcW w:w="4849" w:type="dxa"/>
            <w:gridSpan w:val="2"/>
            <w:tcBorders>
              <w:top w:val="single" w:sz="4" w:space="0" w:color="auto"/>
              <w:left w:val="single" w:sz="4" w:space="0" w:color="auto"/>
              <w:bottom w:val="single" w:sz="4" w:space="0" w:color="auto"/>
              <w:right w:val="single" w:sz="4" w:space="0" w:color="auto"/>
            </w:tcBorders>
            <w:noWrap/>
            <w:vAlign w:val="bottom"/>
            <w:hideMark/>
          </w:tcPr>
          <w:p w:rsidR="00964E66" w:rsidRDefault="00964E66">
            <w:pPr>
              <w:spacing w:line="276" w:lineRule="auto"/>
              <w:jc w:val="center"/>
              <w:rPr>
                <w:b/>
                <w:bCs/>
                <w:color w:val="000000"/>
                <w:sz w:val="24"/>
                <w:szCs w:val="24"/>
                <w:lang w:eastAsia="en-US"/>
              </w:rPr>
            </w:pPr>
            <w:r>
              <w:rPr>
                <w:b/>
                <w:bCs/>
                <w:color w:val="000000"/>
                <w:sz w:val="24"/>
                <w:szCs w:val="24"/>
                <w:lang w:eastAsia="en-US"/>
              </w:rPr>
              <w:t xml:space="preserve">Órgão: 05 – Sec. Municipal de Obras e Serviços Públicos </w:t>
            </w:r>
          </w:p>
        </w:tc>
        <w:tc>
          <w:tcPr>
            <w:tcW w:w="8262" w:type="dxa"/>
            <w:gridSpan w:val="6"/>
            <w:tcBorders>
              <w:top w:val="single" w:sz="4" w:space="0" w:color="auto"/>
              <w:left w:val="nil"/>
              <w:bottom w:val="single" w:sz="4" w:space="0" w:color="auto"/>
              <w:right w:val="single" w:sz="4" w:space="0" w:color="000000"/>
            </w:tcBorders>
            <w:noWrap/>
            <w:vAlign w:val="bottom"/>
            <w:hideMark/>
          </w:tcPr>
          <w:p w:rsidR="00964E66" w:rsidRDefault="00964E66">
            <w:pPr>
              <w:spacing w:line="276" w:lineRule="auto"/>
              <w:jc w:val="center"/>
              <w:rPr>
                <w:b/>
                <w:bCs/>
                <w:color w:val="000000"/>
                <w:sz w:val="24"/>
                <w:szCs w:val="24"/>
                <w:lang w:eastAsia="en-US"/>
              </w:rPr>
            </w:pPr>
            <w:r>
              <w:rPr>
                <w:b/>
                <w:bCs/>
                <w:color w:val="000000"/>
                <w:sz w:val="24"/>
                <w:szCs w:val="24"/>
                <w:lang w:eastAsia="en-US"/>
              </w:rPr>
              <w:t>Unidade Orçamentária: 001 – Gabinete do Secretário</w:t>
            </w:r>
          </w:p>
        </w:tc>
      </w:tr>
      <w:tr w:rsidR="00964E66" w:rsidTr="00964E66">
        <w:trPr>
          <w:gridAfter w:val="1"/>
          <w:wAfter w:w="72" w:type="dxa"/>
          <w:trHeight w:val="300"/>
        </w:trPr>
        <w:tc>
          <w:tcPr>
            <w:tcW w:w="2513" w:type="dxa"/>
            <w:vMerge w:val="restart"/>
            <w:tcBorders>
              <w:top w:val="single" w:sz="4" w:space="0" w:color="auto"/>
              <w:left w:val="single" w:sz="4" w:space="0" w:color="auto"/>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Programa</w:t>
            </w:r>
          </w:p>
        </w:tc>
        <w:tc>
          <w:tcPr>
            <w:tcW w:w="2336" w:type="dxa"/>
            <w:vMerge w:val="restart"/>
            <w:tcBorders>
              <w:top w:val="single" w:sz="4" w:space="0" w:color="auto"/>
              <w:left w:val="single" w:sz="4" w:space="0" w:color="auto"/>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Função e subfunção</w:t>
            </w:r>
          </w:p>
        </w:tc>
        <w:tc>
          <w:tcPr>
            <w:tcW w:w="2763" w:type="dxa"/>
            <w:gridSpan w:val="2"/>
            <w:tcBorders>
              <w:top w:val="single" w:sz="4" w:space="0" w:color="auto"/>
              <w:left w:val="single" w:sz="4" w:space="0" w:color="auto"/>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Ação</w:t>
            </w:r>
          </w:p>
        </w:tc>
        <w:tc>
          <w:tcPr>
            <w:tcW w:w="5499" w:type="dxa"/>
            <w:gridSpan w:val="4"/>
            <w:tcBorders>
              <w:top w:val="single" w:sz="4" w:space="0" w:color="auto"/>
              <w:left w:val="single" w:sz="4" w:space="0" w:color="auto"/>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Indicadores Físico/financeiro</w:t>
            </w:r>
          </w:p>
        </w:tc>
      </w:tr>
      <w:tr w:rsidR="00964E66" w:rsidTr="00964E66">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E66" w:rsidRDefault="00964E66">
            <w:pPr>
              <w:spacing w:line="276" w:lineRule="auto"/>
              <w:rPr>
                <w:b/>
                <w:bCs/>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4E66" w:rsidRDefault="00964E66">
            <w:pPr>
              <w:spacing w:line="276" w:lineRule="auto"/>
              <w:rPr>
                <w:b/>
                <w:bCs/>
                <w:color w:val="000000"/>
                <w:sz w:val="24"/>
                <w:szCs w:val="24"/>
                <w:lang w:eastAsia="en-US"/>
              </w:rPr>
            </w:pPr>
          </w:p>
        </w:tc>
        <w:tc>
          <w:tcPr>
            <w:tcW w:w="2099" w:type="dxa"/>
            <w:tcBorders>
              <w:top w:val="single" w:sz="4" w:space="0" w:color="auto"/>
              <w:left w:val="nil"/>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Descrição</w:t>
            </w:r>
          </w:p>
        </w:tc>
        <w:tc>
          <w:tcPr>
            <w:tcW w:w="664" w:type="dxa"/>
            <w:tcBorders>
              <w:top w:val="single" w:sz="4" w:space="0" w:color="auto"/>
              <w:left w:val="nil"/>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Tipo</w:t>
            </w:r>
          </w:p>
        </w:tc>
        <w:tc>
          <w:tcPr>
            <w:tcW w:w="1601" w:type="dxa"/>
            <w:tcBorders>
              <w:top w:val="single" w:sz="4" w:space="0" w:color="auto"/>
              <w:left w:val="nil"/>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Produto</w:t>
            </w:r>
          </w:p>
        </w:tc>
        <w:tc>
          <w:tcPr>
            <w:tcW w:w="1243" w:type="dxa"/>
            <w:tcBorders>
              <w:top w:val="single" w:sz="4" w:space="0" w:color="auto"/>
              <w:left w:val="nil"/>
              <w:bottom w:val="single" w:sz="4" w:space="0" w:color="auto"/>
              <w:right w:val="single" w:sz="4" w:space="0" w:color="auto"/>
            </w:tcBorders>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Unidade de Medida</w:t>
            </w:r>
          </w:p>
        </w:tc>
        <w:tc>
          <w:tcPr>
            <w:tcW w:w="1136" w:type="dxa"/>
            <w:tcBorders>
              <w:top w:val="single" w:sz="4" w:space="0" w:color="auto"/>
              <w:left w:val="nil"/>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Meta Física</w:t>
            </w:r>
          </w:p>
        </w:tc>
        <w:tc>
          <w:tcPr>
            <w:tcW w:w="1591" w:type="dxa"/>
            <w:gridSpan w:val="2"/>
            <w:tcBorders>
              <w:top w:val="single" w:sz="4" w:space="0" w:color="auto"/>
              <w:left w:val="nil"/>
              <w:bottom w:val="single" w:sz="4" w:space="0" w:color="auto"/>
              <w:right w:val="single" w:sz="4" w:space="0" w:color="auto"/>
            </w:tcBorders>
            <w:noWrap/>
            <w:vAlign w:val="center"/>
            <w:hideMark/>
          </w:tcPr>
          <w:p w:rsidR="00964E66" w:rsidRDefault="00964E66">
            <w:pPr>
              <w:spacing w:line="276" w:lineRule="auto"/>
              <w:jc w:val="center"/>
              <w:rPr>
                <w:b/>
                <w:bCs/>
                <w:color w:val="000000"/>
                <w:sz w:val="24"/>
                <w:szCs w:val="24"/>
                <w:lang w:eastAsia="en-US"/>
              </w:rPr>
            </w:pPr>
            <w:r>
              <w:rPr>
                <w:b/>
                <w:bCs/>
                <w:color w:val="000000"/>
                <w:sz w:val="24"/>
                <w:szCs w:val="24"/>
                <w:lang w:eastAsia="en-US"/>
              </w:rPr>
              <w:t>Meta Financeira</w:t>
            </w:r>
          </w:p>
        </w:tc>
      </w:tr>
      <w:tr w:rsidR="00964E66" w:rsidTr="00964E66">
        <w:trPr>
          <w:gridAfter w:val="1"/>
          <w:wAfter w:w="72" w:type="dxa"/>
          <w:trHeight w:val="675"/>
        </w:trPr>
        <w:tc>
          <w:tcPr>
            <w:tcW w:w="2513" w:type="dxa"/>
            <w:tcBorders>
              <w:top w:val="single" w:sz="4" w:space="0" w:color="auto"/>
              <w:left w:val="single" w:sz="4" w:space="0" w:color="auto"/>
              <w:bottom w:val="single" w:sz="4" w:space="0" w:color="auto"/>
              <w:right w:val="single" w:sz="4" w:space="0" w:color="auto"/>
            </w:tcBorders>
            <w:noWrap/>
            <w:vAlign w:val="center"/>
            <w:hideMark/>
          </w:tcPr>
          <w:p w:rsidR="00964E66" w:rsidRDefault="00964E66">
            <w:pPr>
              <w:spacing w:line="276" w:lineRule="auto"/>
              <w:rPr>
                <w:color w:val="000000"/>
                <w:sz w:val="24"/>
                <w:szCs w:val="24"/>
                <w:lang w:eastAsia="en-US"/>
              </w:rPr>
            </w:pPr>
            <w:r>
              <w:rPr>
                <w:color w:val="000000"/>
                <w:sz w:val="24"/>
                <w:szCs w:val="24"/>
                <w:lang w:eastAsia="en-US"/>
              </w:rPr>
              <w:t xml:space="preserve">0008 –DESENVOLVIMENTO </w:t>
            </w:r>
          </w:p>
        </w:tc>
        <w:tc>
          <w:tcPr>
            <w:tcW w:w="2336" w:type="dxa"/>
            <w:tcBorders>
              <w:top w:val="single" w:sz="4" w:space="0" w:color="auto"/>
              <w:left w:val="nil"/>
              <w:bottom w:val="single" w:sz="4" w:space="0" w:color="auto"/>
              <w:right w:val="single" w:sz="4" w:space="0" w:color="auto"/>
            </w:tcBorders>
            <w:vAlign w:val="center"/>
            <w:hideMark/>
          </w:tcPr>
          <w:p w:rsidR="00964E66" w:rsidRDefault="00964E66">
            <w:pPr>
              <w:spacing w:line="276" w:lineRule="auto"/>
              <w:rPr>
                <w:color w:val="000000"/>
                <w:sz w:val="24"/>
                <w:szCs w:val="24"/>
                <w:lang w:eastAsia="en-US"/>
              </w:rPr>
            </w:pPr>
            <w:r>
              <w:rPr>
                <w:color w:val="000000"/>
                <w:sz w:val="24"/>
                <w:szCs w:val="24"/>
                <w:lang w:eastAsia="en-US"/>
              </w:rPr>
              <w:t>15 – URBANISMO</w:t>
            </w:r>
          </w:p>
          <w:p w:rsidR="00964E66" w:rsidRDefault="00964E66">
            <w:pPr>
              <w:spacing w:line="276" w:lineRule="auto"/>
              <w:rPr>
                <w:color w:val="000000"/>
                <w:sz w:val="24"/>
                <w:szCs w:val="24"/>
                <w:lang w:eastAsia="en-US"/>
              </w:rPr>
            </w:pPr>
            <w:r>
              <w:rPr>
                <w:color w:val="000000"/>
                <w:sz w:val="24"/>
                <w:szCs w:val="24"/>
                <w:lang w:eastAsia="en-US"/>
              </w:rPr>
              <w:t>451- INFRAESTRUTURA URBANA</w:t>
            </w:r>
          </w:p>
        </w:tc>
        <w:tc>
          <w:tcPr>
            <w:tcW w:w="2099" w:type="dxa"/>
            <w:tcBorders>
              <w:top w:val="single" w:sz="4" w:space="0" w:color="auto"/>
              <w:left w:val="nil"/>
              <w:bottom w:val="single" w:sz="4" w:space="0" w:color="auto"/>
              <w:right w:val="single" w:sz="4" w:space="0" w:color="auto"/>
            </w:tcBorders>
            <w:vAlign w:val="center"/>
            <w:hideMark/>
          </w:tcPr>
          <w:p w:rsidR="00964E66" w:rsidRDefault="00964E66">
            <w:pPr>
              <w:spacing w:line="276" w:lineRule="auto"/>
              <w:rPr>
                <w:color w:val="000000"/>
                <w:sz w:val="24"/>
                <w:szCs w:val="24"/>
                <w:lang w:eastAsia="en-US"/>
              </w:rPr>
            </w:pPr>
            <w:r>
              <w:rPr>
                <w:color w:val="000000"/>
                <w:sz w:val="24"/>
                <w:szCs w:val="24"/>
                <w:lang w:eastAsia="en-US"/>
              </w:rPr>
              <w:t>1065 – Drenagem, Recap. e Pavimentação Asfáltica</w:t>
            </w:r>
          </w:p>
        </w:tc>
        <w:tc>
          <w:tcPr>
            <w:tcW w:w="664" w:type="dxa"/>
            <w:tcBorders>
              <w:top w:val="single" w:sz="4" w:space="0" w:color="auto"/>
              <w:left w:val="nil"/>
              <w:bottom w:val="single" w:sz="4" w:space="0" w:color="auto"/>
              <w:right w:val="single" w:sz="4" w:space="0" w:color="auto"/>
            </w:tcBorders>
            <w:noWrap/>
            <w:vAlign w:val="center"/>
            <w:hideMark/>
          </w:tcPr>
          <w:p w:rsidR="00964E66" w:rsidRDefault="00964E66">
            <w:pPr>
              <w:spacing w:line="276" w:lineRule="auto"/>
              <w:jc w:val="center"/>
              <w:rPr>
                <w:color w:val="000000"/>
                <w:sz w:val="24"/>
                <w:szCs w:val="24"/>
                <w:lang w:eastAsia="en-US"/>
              </w:rPr>
            </w:pPr>
            <w:r>
              <w:rPr>
                <w:color w:val="000000"/>
                <w:sz w:val="24"/>
                <w:szCs w:val="24"/>
                <w:lang w:eastAsia="en-US"/>
              </w:rPr>
              <w:t>P</w:t>
            </w:r>
          </w:p>
        </w:tc>
        <w:tc>
          <w:tcPr>
            <w:tcW w:w="1601" w:type="dxa"/>
            <w:tcBorders>
              <w:top w:val="single" w:sz="4" w:space="0" w:color="auto"/>
              <w:left w:val="nil"/>
              <w:bottom w:val="single" w:sz="4" w:space="0" w:color="auto"/>
              <w:right w:val="single" w:sz="4" w:space="0" w:color="auto"/>
            </w:tcBorders>
            <w:vAlign w:val="center"/>
            <w:hideMark/>
          </w:tcPr>
          <w:p w:rsidR="00964E66" w:rsidRDefault="00964E66">
            <w:pPr>
              <w:spacing w:line="276" w:lineRule="auto"/>
              <w:rPr>
                <w:color w:val="000000"/>
                <w:sz w:val="24"/>
                <w:szCs w:val="24"/>
                <w:lang w:eastAsia="en-US"/>
              </w:rPr>
            </w:pPr>
            <w:r>
              <w:rPr>
                <w:color w:val="000000"/>
                <w:sz w:val="24"/>
                <w:szCs w:val="24"/>
                <w:lang w:eastAsia="en-US"/>
              </w:rPr>
              <w:t>0086 – Pavimentação</w:t>
            </w:r>
          </w:p>
        </w:tc>
        <w:tc>
          <w:tcPr>
            <w:tcW w:w="1243" w:type="dxa"/>
            <w:tcBorders>
              <w:top w:val="single" w:sz="4" w:space="0" w:color="auto"/>
              <w:left w:val="nil"/>
              <w:bottom w:val="single" w:sz="4" w:space="0" w:color="auto"/>
              <w:right w:val="single" w:sz="4" w:space="0" w:color="auto"/>
            </w:tcBorders>
            <w:noWrap/>
            <w:vAlign w:val="center"/>
            <w:hideMark/>
          </w:tcPr>
          <w:p w:rsidR="00964E66" w:rsidRDefault="00964E66">
            <w:pPr>
              <w:spacing w:line="276" w:lineRule="auto"/>
              <w:jc w:val="center"/>
              <w:rPr>
                <w:color w:val="000000"/>
                <w:sz w:val="24"/>
                <w:szCs w:val="24"/>
                <w:lang w:eastAsia="en-US"/>
              </w:rPr>
            </w:pPr>
            <w:r>
              <w:rPr>
                <w:color w:val="000000"/>
                <w:sz w:val="24"/>
                <w:szCs w:val="24"/>
                <w:lang w:eastAsia="en-US"/>
              </w:rPr>
              <w:t>M2</w:t>
            </w:r>
          </w:p>
        </w:tc>
        <w:tc>
          <w:tcPr>
            <w:tcW w:w="1136" w:type="dxa"/>
            <w:tcBorders>
              <w:top w:val="single" w:sz="4" w:space="0" w:color="auto"/>
              <w:left w:val="nil"/>
              <w:bottom w:val="single" w:sz="4" w:space="0" w:color="auto"/>
              <w:right w:val="single" w:sz="4" w:space="0" w:color="auto"/>
            </w:tcBorders>
            <w:noWrap/>
            <w:vAlign w:val="center"/>
            <w:hideMark/>
          </w:tcPr>
          <w:p w:rsidR="00964E66" w:rsidRDefault="00964E66">
            <w:pPr>
              <w:spacing w:line="276" w:lineRule="auto"/>
              <w:jc w:val="center"/>
              <w:rPr>
                <w:color w:val="000000"/>
                <w:sz w:val="24"/>
                <w:szCs w:val="24"/>
                <w:lang w:eastAsia="en-US"/>
              </w:rPr>
            </w:pPr>
            <w:r>
              <w:rPr>
                <w:color w:val="000000"/>
                <w:sz w:val="24"/>
                <w:szCs w:val="24"/>
                <w:lang w:eastAsia="en-US"/>
              </w:rPr>
              <w:t>6.000,00</w:t>
            </w:r>
          </w:p>
        </w:tc>
        <w:tc>
          <w:tcPr>
            <w:tcW w:w="1519" w:type="dxa"/>
            <w:tcBorders>
              <w:top w:val="single" w:sz="4" w:space="0" w:color="auto"/>
              <w:left w:val="nil"/>
              <w:bottom w:val="single" w:sz="4" w:space="0" w:color="auto"/>
              <w:right w:val="single" w:sz="4" w:space="0" w:color="auto"/>
            </w:tcBorders>
            <w:noWrap/>
            <w:vAlign w:val="center"/>
            <w:hideMark/>
          </w:tcPr>
          <w:p w:rsidR="00964E66" w:rsidRDefault="00964E66">
            <w:pPr>
              <w:spacing w:line="276" w:lineRule="auto"/>
              <w:jc w:val="right"/>
              <w:rPr>
                <w:color w:val="000000"/>
                <w:sz w:val="24"/>
                <w:szCs w:val="24"/>
                <w:lang w:eastAsia="en-US"/>
              </w:rPr>
            </w:pPr>
            <w:r>
              <w:rPr>
                <w:color w:val="000000"/>
                <w:sz w:val="24"/>
                <w:szCs w:val="24"/>
                <w:lang w:eastAsia="en-US"/>
              </w:rPr>
              <w:t>11.097.000,00</w:t>
            </w:r>
          </w:p>
        </w:tc>
      </w:tr>
    </w:tbl>
    <w:p w:rsidR="00964E66" w:rsidRDefault="00964E66" w:rsidP="00964E66">
      <w:pPr>
        <w:pStyle w:val="Recuodecorpodetexto"/>
        <w:ind w:left="0" w:firstLine="1418"/>
        <w:rPr>
          <w:bCs w:val="0"/>
          <w:lang w:val="pt-BR"/>
        </w:rPr>
      </w:pPr>
    </w:p>
    <w:p w:rsidR="00964E66" w:rsidRDefault="00964E66" w:rsidP="00964E66">
      <w:pPr>
        <w:pStyle w:val="Recuodecorpodetexto"/>
        <w:ind w:left="0" w:firstLine="1418"/>
        <w:rPr>
          <w:bCs w:val="0"/>
          <w:lang w:val="pt-BR"/>
        </w:rPr>
      </w:pPr>
    </w:p>
    <w:p w:rsidR="00964E66" w:rsidRPr="002B14AE" w:rsidRDefault="00964E66" w:rsidP="00964E66">
      <w:pPr>
        <w:pStyle w:val="Recuodecorpodetexto"/>
        <w:ind w:left="0" w:firstLine="1418"/>
        <w:rPr>
          <w:b w:val="0"/>
          <w:bCs w:val="0"/>
          <w:lang w:val="pt-BR"/>
        </w:rPr>
      </w:pPr>
      <w:r w:rsidRPr="002B14AE">
        <w:rPr>
          <w:b w:val="0"/>
          <w:bCs w:val="0"/>
        </w:rPr>
        <w:t xml:space="preserve">Art. </w:t>
      </w:r>
      <w:r w:rsidRPr="002B14AE">
        <w:rPr>
          <w:b w:val="0"/>
          <w:bCs w:val="0"/>
          <w:lang w:val="pt-BR"/>
        </w:rPr>
        <w:t>3</w:t>
      </w:r>
      <w:r w:rsidRPr="002B14AE">
        <w:rPr>
          <w:b w:val="0"/>
          <w:bCs w:val="0"/>
        </w:rPr>
        <w:t xml:space="preserve">º O Chefe do Poder Executivo procederá </w:t>
      </w:r>
      <w:r w:rsidRPr="002B14AE">
        <w:rPr>
          <w:b w:val="0"/>
          <w:bCs w:val="0"/>
          <w:lang w:val="pt-BR"/>
        </w:rPr>
        <w:t>a</w:t>
      </w:r>
      <w:r w:rsidRPr="002B14AE">
        <w:rPr>
          <w:b w:val="0"/>
          <w:bCs w:val="0"/>
        </w:rPr>
        <w:t xml:space="preserve">s alterações no Projeto de Lei nº </w:t>
      </w:r>
      <w:r w:rsidRPr="002B14AE">
        <w:rPr>
          <w:b w:val="0"/>
          <w:bCs w:val="0"/>
          <w:lang w:val="pt-BR"/>
        </w:rPr>
        <w:t>65/2020</w:t>
      </w:r>
      <w:r w:rsidRPr="002B14AE">
        <w:rPr>
          <w:b w:val="0"/>
          <w:bCs w:val="0"/>
        </w:rPr>
        <w:t>, adequando o Projeto de Lei e seus anexos, à Emenda proposta.</w:t>
      </w:r>
    </w:p>
    <w:p w:rsidR="00964E66" w:rsidRPr="002B14AE" w:rsidRDefault="00964E66" w:rsidP="00964E66">
      <w:pPr>
        <w:pStyle w:val="Recuodecorpodetexto"/>
        <w:ind w:left="0" w:firstLine="1418"/>
        <w:rPr>
          <w:b w:val="0"/>
          <w:bCs w:val="0"/>
          <w:lang w:val="pt-BR"/>
        </w:rPr>
      </w:pPr>
    </w:p>
    <w:p w:rsidR="00964E66" w:rsidRDefault="00964E66" w:rsidP="00964E66">
      <w:pPr>
        <w:pStyle w:val="Recuodecorpodetexto"/>
        <w:ind w:left="0" w:firstLine="1418"/>
        <w:rPr>
          <w:b w:val="0"/>
          <w:bCs w:val="0"/>
        </w:rPr>
      </w:pPr>
      <w:r w:rsidRPr="002B14AE">
        <w:rPr>
          <w:b w:val="0"/>
          <w:bCs w:val="0"/>
        </w:rPr>
        <w:t xml:space="preserve">Art. </w:t>
      </w:r>
      <w:r w:rsidRPr="002B14AE">
        <w:rPr>
          <w:b w:val="0"/>
          <w:bCs w:val="0"/>
          <w:lang w:val="pt-BR"/>
        </w:rPr>
        <w:t>4</w:t>
      </w:r>
      <w:r w:rsidRPr="002B14AE">
        <w:rPr>
          <w:b w:val="0"/>
          <w:bCs w:val="0"/>
        </w:rPr>
        <w:t>º</w:t>
      </w:r>
      <w:r>
        <w:rPr>
          <w:b w:val="0"/>
          <w:bCs w:val="0"/>
        </w:rPr>
        <w:t xml:space="preserve"> Esta Emenda </w:t>
      </w:r>
      <w:r>
        <w:rPr>
          <w:b w:val="0"/>
          <w:bCs w:val="0"/>
          <w:lang w:val="pt-BR"/>
        </w:rPr>
        <w:t>Aditiva</w:t>
      </w:r>
      <w:r>
        <w:rPr>
          <w:b w:val="0"/>
          <w:bCs w:val="0"/>
        </w:rPr>
        <w:t xml:space="preserve"> entra em vigor na data de sua publicação.</w:t>
      </w:r>
    </w:p>
    <w:p w:rsidR="00964E66" w:rsidRDefault="00964E66" w:rsidP="00964E66">
      <w:pPr>
        <w:pStyle w:val="Recuodecorpodetexto"/>
        <w:ind w:left="0"/>
        <w:rPr>
          <w:b w:val="0"/>
          <w:bCs w:val="0"/>
          <w:lang w:val="pt-BR"/>
        </w:rPr>
      </w:pPr>
    </w:p>
    <w:p w:rsidR="00964E66" w:rsidRDefault="00964E66" w:rsidP="00964E66">
      <w:pPr>
        <w:pStyle w:val="Recuodecorpodetexto3"/>
        <w:ind w:left="708" w:firstLine="708"/>
        <w:rPr>
          <w:sz w:val="24"/>
          <w:szCs w:val="24"/>
        </w:rPr>
      </w:pPr>
    </w:p>
    <w:p w:rsidR="00964E66" w:rsidRDefault="00964E66" w:rsidP="00964E66">
      <w:pPr>
        <w:pStyle w:val="Recuodecorpodetexto3"/>
        <w:ind w:left="708" w:firstLine="708"/>
        <w:rPr>
          <w:sz w:val="24"/>
          <w:szCs w:val="24"/>
        </w:rPr>
      </w:pPr>
      <w:r>
        <w:rPr>
          <w:sz w:val="24"/>
          <w:szCs w:val="24"/>
        </w:rPr>
        <w:t>Câmara Municipal de Sorriso, Estado do Mato Grosso, em 23 de outubro de 2020.</w:t>
      </w:r>
    </w:p>
    <w:p w:rsidR="00964E66" w:rsidRDefault="00964E66" w:rsidP="00964E66">
      <w:pPr>
        <w:pStyle w:val="Recuodecorpodetexto3"/>
        <w:ind w:left="708" w:firstLine="708"/>
        <w:rPr>
          <w:sz w:val="24"/>
          <w:szCs w:val="24"/>
        </w:rPr>
      </w:pPr>
    </w:p>
    <w:p w:rsidR="002B14AE" w:rsidRDefault="002B14AE" w:rsidP="00964E66">
      <w:pPr>
        <w:pStyle w:val="Recuodecorpodetexto3"/>
        <w:ind w:left="708" w:firstLine="708"/>
        <w:rPr>
          <w:sz w:val="24"/>
          <w:szCs w:val="24"/>
        </w:rPr>
      </w:pPr>
    </w:p>
    <w:p w:rsidR="00964E66" w:rsidRDefault="00964E66" w:rsidP="00964E66">
      <w:pPr>
        <w:jc w:val="center"/>
        <w:rPr>
          <w:b/>
          <w:bCs/>
          <w:color w:val="0D0D0D" w:themeColor="text1" w:themeTint="F2"/>
          <w:sz w:val="23"/>
          <w:szCs w:val="23"/>
        </w:rPr>
      </w:pPr>
    </w:p>
    <w:tbl>
      <w:tblPr>
        <w:tblW w:w="13241" w:type="dxa"/>
        <w:tblInd w:w="10" w:type="dxa"/>
        <w:tblLook w:val="04A0" w:firstRow="1" w:lastRow="0" w:firstColumn="1" w:lastColumn="0" w:noHBand="0" w:noVBand="1"/>
      </w:tblPr>
      <w:tblGrid>
        <w:gridCol w:w="11004"/>
        <w:gridCol w:w="2237"/>
      </w:tblGrid>
      <w:tr w:rsidR="00964E66" w:rsidTr="00964E66">
        <w:trPr>
          <w:trHeight w:val="1286"/>
        </w:trPr>
        <w:tc>
          <w:tcPr>
            <w:tcW w:w="11004" w:type="dxa"/>
          </w:tcPr>
          <w:p w:rsidR="00964E66" w:rsidRDefault="00964E66">
            <w:pPr>
              <w:spacing w:line="276" w:lineRule="auto"/>
              <w:jc w:val="both"/>
              <w:rPr>
                <w:color w:val="000000"/>
                <w:sz w:val="23"/>
                <w:szCs w:val="23"/>
                <w:lang w:eastAsia="en-US"/>
              </w:rPr>
            </w:pPr>
          </w:p>
          <w:tbl>
            <w:tblPr>
              <w:tblpPr w:leftFromText="141" w:rightFromText="141" w:vertAnchor="page" w:horzAnchor="page" w:tblpX="3118" w:tblpY="264"/>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4925"/>
            </w:tblGrid>
            <w:tr w:rsidR="00964E66" w:rsidTr="002B14AE">
              <w:trPr>
                <w:trHeight w:val="131"/>
              </w:trPr>
              <w:tc>
                <w:tcPr>
                  <w:tcW w:w="4290" w:type="dxa"/>
                  <w:tcBorders>
                    <w:top w:val="nil"/>
                    <w:left w:val="nil"/>
                    <w:bottom w:val="nil"/>
                    <w:right w:val="nil"/>
                  </w:tcBorders>
                  <w:hideMark/>
                </w:tcPr>
                <w:p w:rsidR="00964E66" w:rsidRDefault="00964E66">
                  <w:pPr>
                    <w:tabs>
                      <w:tab w:val="left" w:pos="0"/>
                    </w:tabs>
                    <w:spacing w:line="276" w:lineRule="auto"/>
                    <w:jc w:val="center"/>
                    <w:rPr>
                      <w:b/>
                      <w:bCs/>
                      <w:color w:val="000000"/>
                      <w:sz w:val="24"/>
                      <w:szCs w:val="24"/>
                      <w:lang w:eastAsia="en-US"/>
                    </w:rPr>
                  </w:pPr>
                  <w:r>
                    <w:rPr>
                      <w:b/>
                      <w:bCs/>
                      <w:color w:val="000000"/>
                      <w:sz w:val="24"/>
                      <w:szCs w:val="24"/>
                      <w:lang w:eastAsia="en-US"/>
                    </w:rPr>
                    <w:t>DAMIANI NA TV</w:t>
                  </w:r>
                </w:p>
                <w:p w:rsidR="00964E66" w:rsidRDefault="00964E66">
                  <w:pPr>
                    <w:tabs>
                      <w:tab w:val="left" w:pos="0"/>
                    </w:tabs>
                    <w:spacing w:line="276" w:lineRule="auto"/>
                    <w:jc w:val="center"/>
                    <w:rPr>
                      <w:b/>
                      <w:bCs/>
                      <w:color w:val="000000"/>
                      <w:sz w:val="24"/>
                      <w:szCs w:val="24"/>
                      <w:lang w:eastAsia="en-US"/>
                    </w:rPr>
                  </w:pPr>
                  <w:r>
                    <w:rPr>
                      <w:b/>
                      <w:bCs/>
                      <w:color w:val="000000"/>
                      <w:sz w:val="24"/>
                      <w:szCs w:val="24"/>
                      <w:lang w:eastAsia="en-US"/>
                    </w:rPr>
                    <w:t>Vereador PSDB</w:t>
                  </w:r>
                </w:p>
              </w:tc>
              <w:tc>
                <w:tcPr>
                  <w:tcW w:w="4925" w:type="dxa"/>
                  <w:tcBorders>
                    <w:top w:val="nil"/>
                    <w:left w:val="nil"/>
                    <w:bottom w:val="nil"/>
                    <w:right w:val="nil"/>
                  </w:tcBorders>
                  <w:hideMark/>
                </w:tcPr>
                <w:p w:rsidR="00964E66" w:rsidRDefault="00964E66">
                  <w:pPr>
                    <w:tabs>
                      <w:tab w:val="left" w:pos="0"/>
                    </w:tabs>
                    <w:spacing w:line="276" w:lineRule="auto"/>
                    <w:jc w:val="center"/>
                    <w:rPr>
                      <w:b/>
                      <w:bCs/>
                      <w:color w:val="000000"/>
                      <w:sz w:val="24"/>
                      <w:szCs w:val="24"/>
                      <w:lang w:eastAsia="en-US"/>
                    </w:rPr>
                  </w:pPr>
                  <w:r>
                    <w:rPr>
                      <w:b/>
                      <w:bCs/>
                      <w:color w:val="000000"/>
                      <w:sz w:val="24"/>
                      <w:szCs w:val="24"/>
                      <w:lang w:eastAsia="en-US"/>
                    </w:rPr>
                    <w:t>MAUR</w:t>
                  </w:r>
                  <w:r w:rsidR="002B14AE">
                    <w:rPr>
                      <w:b/>
                      <w:bCs/>
                      <w:color w:val="000000"/>
                      <w:sz w:val="24"/>
                      <w:szCs w:val="24"/>
                      <w:lang w:eastAsia="en-US"/>
                    </w:rPr>
                    <w:t>I</w:t>
                  </w:r>
                  <w:r>
                    <w:rPr>
                      <w:b/>
                      <w:bCs/>
                      <w:color w:val="000000"/>
                      <w:sz w:val="24"/>
                      <w:szCs w:val="24"/>
                      <w:lang w:eastAsia="en-US"/>
                    </w:rPr>
                    <w:t>CIO GOMES</w:t>
                  </w:r>
                </w:p>
                <w:p w:rsidR="00964E66" w:rsidRDefault="00964E66">
                  <w:pPr>
                    <w:spacing w:line="276" w:lineRule="auto"/>
                    <w:jc w:val="center"/>
                    <w:rPr>
                      <w:b/>
                      <w:bCs/>
                      <w:color w:val="000000"/>
                      <w:sz w:val="24"/>
                      <w:szCs w:val="24"/>
                      <w:lang w:eastAsia="en-US"/>
                    </w:rPr>
                  </w:pPr>
                  <w:r>
                    <w:rPr>
                      <w:b/>
                      <w:bCs/>
                      <w:color w:val="000000"/>
                      <w:sz w:val="24"/>
                      <w:szCs w:val="24"/>
                      <w:lang w:eastAsia="en-US"/>
                    </w:rPr>
                    <w:t>Vereador PSB</w:t>
                  </w:r>
                </w:p>
              </w:tc>
            </w:tr>
          </w:tbl>
          <w:p w:rsidR="00964E66" w:rsidRDefault="00964E66">
            <w:pPr>
              <w:tabs>
                <w:tab w:val="left" w:pos="720"/>
                <w:tab w:val="left" w:pos="944"/>
              </w:tabs>
              <w:spacing w:line="276" w:lineRule="auto"/>
              <w:jc w:val="both"/>
              <w:rPr>
                <w:b/>
                <w:color w:val="000000"/>
                <w:sz w:val="24"/>
                <w:szCs w:val="24"/>
                <w:lang w:eastAsia="en-US"/>
              </w:rPr>
            </w:pPr>
            <w:r>
              <w:rPr>
                <w:b/>
                <w:color w:val="000000"/>
                <w:sz w:val="24"/>
                <w:szCs w:val="24"/>
                <w:lang w:eastAsia="en-US"/>
              </w:rPr>
              <w:t xml:space="preserve"> </w:t>
            </w:r>
          </w:p>
          <w:p w:rsidR="00964E66" w:rsidRDefault="00964E66">
            <w:pPr>
              <w:tabs>
                <w:tab w:val="left" w:pos="720"/>
                <w:tab w:val="left" w:pos="944"/>
              </w:tabs>
              <w:spacing w:line="276" w:lineRule="auto"/>
              <w:jc w:val="both"/>
              <w:rPr>
                <w:b/>
                <w:color w:val="000000"/>
                <w:sz w:val="24"/>
                <w:szCs w:val="24"/>
                <w:lang w:eastAsia="en-US"/>
              </w:rPr>
            </w:pPr>
          </w:p>
          <w:p w:rsidR="00964E66" w:rsidRDefault="00964E66">
            <w:pPr>
              <w:spacing w:line="276" w:lineRule="auto"/>
              <w:jc w:val="center"/>
              <w:rPr>
                <w:b/>
                <w:bCs/>
                <w:color w:val="0D0D0D" w:themeColor="text1" w:themeTint="F2"/>
                <w:sz w:val="23"/>
                <w:szCs w:val="23"/>
                <w:lang w:eastAsia="en-US"/>
              </w:rPr>
            </w:pPr>
          </w:p>
        </w:tc>
        <w:tc>
          <w:tcPr>
            <w:tcW w:w="2237" w:type="dxa"/>
          </w:tcPr>
          <w:p w:rsidR="00964E66" w:rsidRDefault="00964E66">
            <w:pPr>
              <w:spacing w:line="276" w:lineRule="auto"/>
              <w:rPr>
                <w:b/>
                <w:bCs/>
                <w:color w:val="0D0D0D" w:themeColor="text1" w:themeTint="F2"/>
                <w:sz w:val="23"/>
                <w:szCs w:val="23"/>
                <w:lang w:eastAsia="en-US"/>
              </w:rPr>
            </w:pPr>
          </w:p>
        </w:tc>
      </w:tr>
    </w:tbl>
    <w:p w:rsidR="002B14AE" w:rsidRDefault="002B14AE" w:rsidP="00964E66">
      <w:pPr>
        <w:rPr>
          <w:b/>
          <w:bCs/>
          <w:color w:val="0D0D0D" w:themeColor="text1" w:themeTint="F2"/>
          <w:sz w:val="23"/>
          <w:szCs w:val="23"/>
        </w:rPr>
      </w:pPr>
    </w:p>
    <w:p w:rsidR="002B14AE" w:rsidRDefault="002B14AE" w:rsidP="00964E66">
      <w:pPr>
        <w:rPr>
          <w:b/>
          <w:bCs/>
          <w:color w:val="0D0D0D" w:themeColor="text1" w:themeTint="F2"/>
          <w:sz w:val="23"/>
          <w:szCs w:val="23"/>
        </w:rPr>
      </w:pPr>
    </w:p>
    <w:p w:rsidR="002B14AE" w:rsidRDefault="002B14AE" w:rsidP="00964E66">
      <w:pPr>
        <w:rPr>
          <w:b/>
          <w:bCs/>
          <w:color w:val="0D0D0D" w:themeColor="text1" w:themeTint="F2"/>
          <w:sz w:val="23"/>
          <w:szCs w:val="23"/>
        </w:rPr>
      </w:pPr>
    </w:p>
    <w:p w:rsidR="00964E66" w:rsidRDefault="00964E66" w:rsidP="00964E66">
      <w:pPr>
        <w:rPr>
          <w:b/>
          <w:bCs/>
          <w:color w:val="0D0D0D" w:themeColor="text1" w:themeTint="F2"/>
          <w:sz w:val="22"/>
          <w:szCs w:val="22"/>
        </w:rPr>
      </w:pPr>
      <w:r>
        <w:rPr>
          <w:b/>
          <w:bCs/>
          <w:color w:val="0D0D0D" w:themeColor="text1" w:themeTint="F2"/>
          <w:sz w:val="23"/>
          <w:szCs w:val="23"/>
        </w:rPr>
        <w:t xml:space="preserve"> </w:t>
      </w:r>
    </w:p>
    <w:p w:rsidR="00964E66" w:rsidRDefault="00964E66" w:rsidP="002B14AE">
      <w:pPr>
        <w:pStyle w:val="Recuodecorpodetexto3"/>
        <w:spacing w:after="0"/>
        <w:ind w:left="0"/>
        <w:jc w:val="center"/>
        <w:rPr>
          <w:b/>
          <w:sz w:val="24"/>
          <w:szCs w:val="24"/>
        </w:rPr>
      </w:pPr>
      <w:r>
        <w:rPr>
          <w:b/>
          <w:sz w:val="24"/>
          <w:szCs w:val="24"/>
        </w:rPr>
        <w:lastRenderedPageBreak/>
        <w:t>JUSTIFICATIVAS</w:t>
      </w:r>
    </w:p>
    <w:p w:rsidR="00964E66" w:rsidRDefault="00964E66" w:rsidP="00964E66">
      <w:pPr>
        <w:pStyle w:val="Recuodecorpodetexto3"/>
        <w:spacing w:after="0"/>
        <w:ind w:firstLine="1418"/>
        <w:rPr>
          <w:sz w:val="24"/>
          <w:szCs w:val="24"/>
        </w:rPr>
      </w:pPr>
    </w:p>
    <w:p w:rsidR="00964E66" w:rsidRDefault="00964E66" w:rsidP="00964E66">
      <w:pPr>
        <w:pStyle w:val="Recuodecorpodetexto3"/>
        <w:tabs>
          <w:tab w:val="left" w:pos="708"/>
        </w:tabs>
        <w:spacing w:after="0" w:line="360" w:lineRule="auto"/>
        <w:ind w:left="0" w:firstLine="1418"/>
        <w:jc w:val="both"/>
        <w:rPr>
          <w:sz w:val="24"/>
          <w:szCs w:val="24"/>
        </w:rPr>
      </w:pPr>
    </w:p>
    <w:p w:rsidR="00964E66" w:rsidRDefault="00964E66" w:rsidP="00964E66">
      <w:pPr>
        <w:pStyle w:val="Recuodecorpodetexto3"/>
        <w:tabs>
          <w:tab w:val="left" w:pos="708"/>
        </w:tabs>
        <w:spacing w:line="360" w:lineRule="auto"/>
        <w:jc w:val="both"/>
        <w:rPr>
          <w:sz w:val="24"/>
          <w:szCs w:val="24"/>
        </w:rPr>
      </w:pPr>
      <w:r>
        <w:rPr>
          <w:sz w:val="24"/>
          <w:szCs w:val="24"/>
        </w:rPr>
        <w:tab/>
      </w:r>
      <w:r>
        <w:rPr>
          <w:sz w:val="24"/>
          <w:szCs w:val="24"/>
        </w:rPr>
        <w:tab/>
        <w:t xml:space="preserve">Considerando que a atenção à saúde é direito de todo o cidadão e um dever do Estado, sendo plenamente assegurada pela Constituição Federal de 1988, elevado à categoria dos direitos fundamentais, por estar interligado ao direito à vida e à existência digna. </w:t>
      </w:r>
    </w:p>
    <w:p w:rsidR="00964E66" w:rsidRDefault="00964E66" w:rsidP="00964E66">
      <w:pPr>
        <w:pStyle w:val="Recuodecorpodetexto3"/>
        <w:tabs>
          <w:tab w:val="left" w:pos="708"/>
        </w:tabs>
        <w:spacing w:line="360" w:lineRule="auto"/>
        <w:jc w:val="both"/>
        <w:rPr>
          <w:sz w:val="24"/>
          <w:szCs w:val="24"/>
        </w:rPr>
      </w:pPr>
      <w:r>
        <w:rPr>
          <w:sz w:val="24"/>
          <w:szCs w:val="24"/>
        </w:rPr>
        <w:tab/>
      </w:r>
      <w:r>
        <w:rPr>
          <w:sz w:val="24"/>
          <w:szCs w:val="24"/>
        </w:rPr>
        <w:tab/>
        <w:t>Considerando que o direito à assistência farmacêutica foi expressamente incluído na legislação do direito à saúde, nos termos da alínea d, inciso I, do art. 6.º da Lei Federal nº 8.080/1990 e o acesso à saúde importa acesso ao medicamento adequado, para uma finalidade específica, em dosagem correta, pelo tempo necessário e cuja utilização racional tenha como consequência a resolutividade das ações de saúde.</w:t>
      </w:r>
    </w:p>
    <w:p w:rsidR="00964E66" w:rsidRDefault="00964E66" w:rsidP="00964E66">
      <w:pPr>
        <w:pStyle w:val="Recuodecorpodetexto3"/>
        <w:tabs>
          <w:tab w:val="left" w:pos="708"/>
        </w:tabs>
        <w:spacing w:line="360" w:lineRule="auto"/>
        <w:jc w:val="both"/>
        <w:rPr>
          <w:sz w:val="24"/>
          <w:szCs w:val="24"/>
        </w:rPr>
      </w:pPr>
      <w:r>
        <w:rPr>
          <w:sz w:val="24"/>
          <w:szCs w:val="24"/>
        </w:rPr>
        <w:tab/>
      </w:r>
      <w:r>
        <w:rPr>
          <w:sz w:val="24"/>
          <w:szCs w:val="24"/>
        </w:rPr>
        <w:tab/>
        <w:t>Considerando que a UPINHA da Zona Leste do município atende os usuários no período noturno e aqueles com prescrição de medicamentos, obrigam-se a aguardar até o dia seguinte para retirar a medicação junto à farmácia cidadã, o que atrasa o processo de recuperação.</w:t>
      </w:r>
    </w:p>
    <w:p w:rsidR="00964E66" w:rsidRDefault="00964E66" w:rsidP="00964E66">
      <w:pPr>
        <w:pStyle w:val="Recuodecorpodetexto3"/>
        <w:tabs>
          <w:tab w:val="left" w:pos="708"/>
        </w:tabs>
        <w:spacing w:line="360" w:lineRule="auto"/>
        <w:jc w:val="both"/>
        <w:rPr>
          <w:sz w:val="24"/>
          <w:szCs w:val="24"/>
        </w:rPr>
      </w:pPr>
      <w:r>
        <w:rPr>
          <w:sz w:val="24"/>
          <w:szCs w:val="24"/>
        </w:rPr>
        <w:tab/>
      </w:r>
      <w:r>
        <w:rPr>
          <w:sz w:val="24"/>
          <w:szCs w:val="24"/>
        </w:rPr>
        <w:tab/>
        <w:t>Considerando que os usuários da saúde pública do Bairro Rota do Sol, ao passarem por atendimento médico na UBS daquela localidade, com prescrição de medicamentos, que são fornecidos na farmácia cidadã, necessitam locomover-se por longa distância, para retirá-los, vez que a mesma está localizada na área central da cidade.</w:t>
      </w:r>
    </w:p>
    <w:p w:rsidR="00964E66" w:rsidRDefault="00964E66" w:rsidP="00964E66">
      <w:pPr>
        <w:pStyle w:val="Recuodecorpodetexto3"/>
        <w:tabs>
          <w:tab w:val="left" w:pos="708"/>
        </w:tabs>
        <w:spacing w:line="360" w:lineRule="auto"/>
        <w:jc w:val="both"/>
        <w:rPr>
          <w:sz w:val="24"/>
          <w:szCs w:val="24"/>
        </w:rPr>
      </w:pPr>
      <w:r>
        <w:rPr>
          <w:sz w:val="24"/>
          <w:szCs w:val="24"/>
        </w:rPr>
        <w:t xml:space="preserve">           </w:t>
      </w:r>
      <w:r>
        <w:rPr>
          <w:sz w:val="24"/>
          <w:szCs w:val="24"/>
        </w:rPr>
        <w:tab/>
        <w:t xml:space="preserve">Considerando que </w:t>
      </w:r>
      <w:r w:rsidR="002B14AE">
        <w:rPr>
          <w:sz w:val="24"/>
          <w:szCs w:val="24"/>
        </w:rPr>
        <w:t>as centenas</w:t>
      </w:r>
      <w:r>
        <w:rPr>
          <w:sz w:val="24"/>
          <w:szCs w:val="24"/>
        </w:rPr>
        <w:t xml:space="preserve"> de usuários da saúde pública são atendidos durante o dia nas unidades de saúde dos bairros adjacentes e muitos não dispõem de meios para retirar os medicamentos neste período, por se encontrarem debilitados e com dificuldade de locomoção, dependendo de algum parente, que trabalha durante o dia, que só poderá retirar os medicamentos no período noturno.</w:t>
      </w:r>
    </w:p>
    <w:p w:rsidR="00964E66" w:rsidRDefault="00964E66" w:rsidP="00964E66">
      <w:pPr>
        <w:pStyle w:val="Recuodecorpodetexto3"/>
        <w:tabs>
          <w:tab w:val="left" w:pos="708"/>
        </w:tabs>
        <w:spacing w:line="360" w:lineRule="auto"/>
        <w:jc w:val="both"/>
        <w:rPr>
          <w:sz w:val="24"/>
          <w:szCs w:val="24"/>
        </w:rPr>
      </w:pPr>
      <w:r>
        <w:rPr>
          <w:sz w:val="24"/>
          <w:szCs w:val="24"/>
        </w:rPr>
        <w:lastRenderedPageBreak/>
        <w:tab/>
      </w:r>
      <w:r>
        <w:rPr>
          <w:sz w:val="24"/>
          <w:szCs w:val="24"/>
        </w:rPr>
        <w:tab/>
        <w:t>Considerando que</w:t>
      </w:r>
      <w:r>
        <w:t xml:space="preserve"> </w:t>
      </w:r>
      <w:r>
        <w:rPr>
          <w:sz w:val="24"/>
          <w:szCs w:val="24"/>
        </w:rPr>
        <w:t>hodiernamente somente a Zona Leste possui 17 (dezessete) bairros, com uma população aproximada de 30.000,00 (trinta mil) pessoas e o Bairro</w:t>
      </w:r>
      <w:bookmarkStart w:id="0" w:name="_GoBack"/>
      <w:bookmarkEnd w:id="0"/>
      <w:r>
        <w:rPr>
          <w:sz w:val="24"/>
          <w:szCs w:val="24"/>
        </w:rPr>
        <w:t xml:space="preserve"> Rota do Sol, tem população de 15.000 (quinze mil) pessoas, a construção de uma farmácia cidadã com atendimento 24 horas, nas localidades facilitará o acesso aos medicamentos. </w:t>
      </w:r>
    </w:p>
    <w:p w:rsidR="00964E66" w:rsidRDefault="00964E66" w:rsidP="00964E66">
      <w:pPr>
        <w:pStyle w:val="NCNormalCentralizado"/>
        <w:spacing w:line="360" w:lineRule="auto"/>
        <w:jc w:val="both"/>
        <w:rPr>
          <w:bCs/>
          <w:sz w:val="24"/>
          <w:szCs w:val="24"/>
        </w:rPr>
      </w:pPr>
    </w:p>
    <w:p w:rsidR="00964E66" w:rsidRDefault="00964E66" w:rsidP="00964E66">
      <w:pPr>
        <w:pStyle w:val="NCNormalCentralizado"/>
        <w:spacing w:line="360" w:lineRule="auto"/>
        <w:ind w:firstLine="1418"/>
        <w:jc w:val="both"/>
        <w:rPr>
          <w:bCs/>
          <w:sz w:val="24"/>
          <w:szCs w:val="24"/>
        </w:rPr>
      </w:pPr>
      <w:r>
        <w:rPr>
          <w:bCs/>
          <w:sz w:val="24"/>
          <w:szCs w:val="24"/>
        </w:rPr>
        <w:t>Desta forma, solicitamos o apoio dos nobres Edis em deliberar favoravelmente a matéria em questão.</w:t>
      </w:r>
    </w:p>
    <w:p w:rsidR="00964E66" w:rsidRDefault="00964E66" w:rsidP="00964E66">
      <w:pPr>
        <w:pStyle w:val="Recuodecorpodetexto3"/>
        <w:spacing w:after="0"/>
        <w:ind w:left="0"/>
        <w:jc w:val="both"/>
        <w:rPr>
          <w:sz w:val="24"/>
          <w:szCs w:val="24"/>
        </w:rPr>
      </w:pPr>
    </w:p>
    <w:p w:rsidR="00964E66" w:rsidRDefault="00964E66" w:rsidP="00964E66">
      <w:pPr>
        <w:pStyle w:val="Recuodecorpodetexto3"/>
        <w:spacing w:after="0"/>
        <w:ind w:left="0" w:firstLine="1418"/>
        <w:jc w:val="both"/>
        <w:rPr>
          <w:sz w:val="24"/>
          <w:szCs w:val="24"/>
        </w:rPr>
      </w:pPr>
    </w:p>
    <w:p w:rsidR="00964E66" w:rsidRDefault="00964E66" w:rsidP="00964E66">
      <w:pPr>
        <w:pStyle w:val="Recuodecorpodetexto3"/>
        <w:spacing w:after="0"/>
        <w:ind w:left="0" w:firstLine="1418"/>
        <w:jc w:val="both"/>
        <w:rPr>
          <w:sz w:val="24"/>
          <w:szCs w:val="24"/>
        </w:rPr>
      </w:pPr>
      <w:r>
        <w:rPr>
          <w:sz w:val="24"/>
          <w:szCs w:val="24"/>
        </w:rPr>
        <w:t>Câmara Municipal de Sorriso, Estado do Mato Grosso, em 23 de outubro de 2020.</w:t>
      </w:r>
    </w:p>
    <w:p w:rsidR="002B14AE" w:rsidRDefault="002B14AE" w:rsidP="00964E66">
      <w:pPr>
        <w:pStyle w:val="Recuodecorpodetexto3"/>
        <w:spacing w:after="0"/>
        <w:ind w:left="0" w:firstLine="1418"/>
        <w:jc w:val="both"/>
        <w:rPr>
          <w:sz w:val="24"/>
          <w:szCs w:val="24"/>
        </w:rPr>
      </w:pPr>
    </w:p>
    <w:p w:rsidR="002B14AE" w:rsidRDefault="002B14AE" w:rsidP="00964E66">
      <w:pPr>
        <w:pStyle w:val="Recuodecorpodetexto3"/>
        <w:spacing w:after="0"/>
        <w:ind w:left="0" w:firstLine="1418"/>
        <w:jc w:val="both"/>
        <w:rPr>
          <w:sz w:val="24"/>
          <w:szCs w:val="24"/>
        </w:rPr>
      </w:pPr>
    </w:p>
    <w:p w:rsidR="002B14AE" w:rsidRDefault="002B14AE" w:rsidP="00964E66">
      <w:pPr>
        <w:pStyle w:val="Recuodecorpodetexto3"/>
        <w:spacing w:after="0"/>
        <w:ind w:left="0" w:firstLine="1418"/>
        <w:jc w:val="both"/>
        <w:rPr>
          <w:sz w:val="24"/>
          <w:szCs w:val="24"/>
        </w:rPr>
      </w:pPr>
    </w:p>
    <w:p w:rsidR="002B14AE" w:rsidRDefault="002B14AE" w:rsidP="00964E66">
      <w:pPr>
        <w:pStyle w:val="Recuodecorpodetexto3"/>
        <w:spacing w:after="0"/>
        <w:ind w:left="0" w:firstLine="1418"/>
        <w:jc w:val="both"/>
        <w:rPr>
          <w:sz w:val="24"/>
          <w:szCs w:val="24"/>
        </w:rPr>
      </w:pPr>
    </w:p>
    <w:p w:rsidR="002B14AE" w:rsidRDefault="002B14AE" w:rsidP="00964E66">
      <w:pPr>
        <w:pStyle w:val="Recuodecorpodetexto3"/>
        <w:spacing w:after="0"/>
        <w:ind w:left="0" w:firstLine="1418"/>
        <w:jc w:val="both"/>
        <w:rPr>
          <w:sz w:val="24"/>
          <w:szCs w:val="24"/>
        </w:rPr>
      </w:pPr>
    </w:p>
    <w:p w:rsidR="002B14AE" w:rsidRPr="002B14AE" w:rsidRDefault="002B14AE" w:rsidP="00964E66">
      <w:pPr>
        <w:pStyle w:val="Recuodecorpodetexto3"/>
        <w:spacing w:after="0"/>
        <w:ind w:left="0" w:firstLine="1418"/>
        <w:jc w:val="both"/>
        <w:rPr>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0"/>
        <w:gridCol w:w="6591"/>
      </w:tblGrid>
      <w:tr w:rsidR="002B14AE" w:rsidRPr="002B14AE" w:rsidTr="002B14AE">
        <w:tc>
          <w:tcPr>
            <w:tcW w:w="6590" w:type="dxa"/>
          </w:tcPr>
          <w:p w:rsidR="002B14AE" w:rsidRPr="002B14AE" w:rsidRDefault="002B14AE" w:rsidP="002B14AE">
            <w:pPr>
              <w:pStyle w:val="Recuodecorpodetexto3"/>
              <w:spacing w:after="0"/>
              <w:ind w:left="0"/>
              <w:jc w:val="center"/>
              <w:rPr>
                <w:b/>
                <w:sz w:val="24"/>
                <w:szCs w:val="24"/>
              </w:rPr>
            </w:pPr>
            <w:r w:rsidRPr="002B14AE">
              <w:rPr>
                <w:b/>
                <w:sz w:val="24"/>
                <w:szCs w:val="24"/>
              </w:rPr>
              <w:t>DAMIANI NA TV</w:t>
            </w:r>
          </w:p>
          <w:p w:rsidR="002B14AE" w:rsidRPr="002B14AE" w:rsidRDefault="002B14AE" w:rsidP="002B14AE">
            <w:pPr>
              <w:pStyle w:val="Recuodecorpodetexto3"/>
              <w:spacing w:after="0"/>
              <w:ind w:left="0"/>
              <w:jc w:val="center"/>
              <w:rPr>
                <w:b/>
                <w:sz w:val="24"/>
                <w:szCs w:val="24"/>
              </w:rPr>
            </w:pPr>
            <w:r w:rsidRPr="002B14AE">
              <w:rPr>
                <w:b/>
                <w:sz w:val="24"/>
                <w:szCs w:val="24"/>
              </w:rPr>
              <w:t>Vereador PSDB</w:t>
            </w:r>
          </w:p>
        </w:tc>
        <w:tc>
          <w:tcPr>
            <w:tcW w:w="6591" w:type="dxa"/>
          </w:tcPr>
          <w:p w:rsidR="002B14AE" w:rsidRPr="002B14AE" w:rsidRDefault="002B14AE" w:rsidP="002B14AE">
            <w:pPr>
              <w:pStyle w:val="Recuodecorpodetexto3"/>
              <w:spacing w:after="0"/>
              <w:ind w:left="0"/>
              <w:jc w:val="center"/>
              <w:rPr>
                <w:b/>
                <w:sz w:val="24"/>
                <w:szCs w:val="24"/>
              </w:rPr>
            </w:pPr>
            <w:r w:rsidRPr="002B14AE">
              <w:rPr>
                <w:b/>
                <w:sz w:val="24"/>
                <w:szCs w:val="24"/>
              </w:rPr>
              <w:t>MAURICIO GOMES</w:t>
            </w:r>
          </w:p>
          <w:p w:rsidR="002B14AE" w:rsidRPr="002B14AE" w:rsidRDefault="002B14AE" w:rsidP="002B14AE">
            <w:pPr>
              <w:pStyle w:val="Recuodecorpodetexto3"/>
              <w:spacing w:after="0"/>
              <w:ind w:left="0"/>
              <w:jc w:val="center"/>
              <w:rPr>
                <w:b/>
                <w:sz w:val="24"/>
                <w:szCs w:val="24"/>
              </w:rPr>
            </w:pPr>
            <w:r w:rsidRPr="002B14AE">
              <w:rPr>
                <w:b/>
                <w:sz w:val="24"/>
                <w:szCs w:val="24"/>
              </w:rPr>
              <w:t>Vereador PSB</w:t>
            </w:r>
          </w:p>
        </w:tc>
      </w:tr>
    </w:tbl>
    <w:p w:rsidR="002B14AE" w:rsidRDefault="002B14AE" w:rsidP="002B14AE">
      <w:pPr>
        <w:pStyle w:val="Recuodecorpodetexto3"/>
        <w:spacing w:after="0"/>
        <w:ind w:left="0"/>
        <w:jc w:val="center"/>
        <w:rPr>
          <w:sz w:val="24"/>
          <w:szCs w:val="24"/>
        </w:rPr>
      </w:pPr>
    </w:p>
    <w:sectPr w:rsidR="002B14AE" w:rsidSect="00D109DE">
      <w:pgSz w:w="16838" w:h="11906" w:orient="landscape"/>
      <w:pgMar w:top="1701" w:right="266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CF" w:rsidRDefault="00C37ACF" w:rsidP="00D33CB4">
      <w:r>
        <w:separator/>
      </w:r>
    </w:p>
  </w:endnote>
  <w:endnote w:type="continuationSeparator" w:id="0">
    <w:p w:rsidR="00C37ACF" w:rsidRDefault="00C37ACF" w:rsidP="00D3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CF" w:rsidRDefault="00C37ACF" w:rsidP="00D33CB4">
      <w:r>
        <w:separator/>
      </w:r>
    </w:p>
  </w:footnote>
  <w:footnote w:type="continuationSeparator" w:id="0">
    <w:p w:rsidR="00C37ACF" w:rsidRDefault="00C37ACF" w:rsidP="00D33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2C"/>
    <w:rsid w:val="00003263"/>
    <w:rsid w:val="00026DD6"/>
    <w:rsid w:val="00045C17"/>
    <w:rsid w:val="0005048F"/>
    <w:rsid w:val="00054B0E"/>
    <w:rsid w:val="00082E80"/>
    <w:rsid w:val="000C1736"/>
    <w:rsid w:val="000C4F3A"/>
    <w:rsid w:val="000F2181"/>
    <w:rsid w:val="001029A0"/>
    <w:rsid w:val="001171F2"/>
    <w:rsid w:val="00121353"/>
    <w:rsid w:val="00121B3B"/>
    <w:rsid w:val="001563D2"/>
    <w:rsid w:val="0019086C"/>
    <w:rsid w:val="00196032"/>
    <w:rsid w:val="001D61D2"/>
    <w:rsid w:val="001E7CA4"/>
    <w:rsid w:val="00206279"/>
    <w:rsid w:val="00216DFD"/>
    <w:rsid w:val="0025061F"/>
    <w:rsid w:val="0027126E"/>
    <w:rsid w:val="00284A68"/>
    <w:rsid w:val="002A50D3"/>
    <w:rsid w:val="002B14AE"/>
    <w:rsid w:val="002B3921"/>
    <w:rsid w:val="002B6F20"/>
    <w:rsid w:val="002C0648"/>
    <w:rsid w:val="002C2305"/>
    <w:rsid w:val="002C59D0"/>
    <w:rsid w:val="002C6B68"/>
    <w:rsid w:val="002E6F78"/>
    <w:rsid w:val="003336A3"/>
    <w:rsid w:val="0037626E"/>
    <w:rsid w:val="0038107D"/>
    <w:rsid w:val="00390216"/>
    <w:rsid w:val="00394AFE"/>
    <w:rsid w:val="00397789"/>
    <w:rsid w:val="003A7A14"/>
    <w:rsid w:val="003B5D2C"/>
    <w:rsid w:val="003C308F"/>
    <w:rsid w:val="003F0280"/>
    <w:rsid w:val="003F101B"/>
    <w:rsid w:val="00402800"/>
    <w:rsid w:val="00442EC4"/>
    <w:rsid w:val="00466983"/>
    <w:rsid w:val="0048530A"/>
    <w:rsid w:val="00496197"/>
    <w:rsid w:val="00497E91"/>
    <w:rsid w:val="004B6299"/>
    <w:rsid w:val="004E1CB9"/>
    <w:rsid w:val="00563265"/>
    <w:rsid w:val="005675FF"/>
    <w:rsid w:val="0058405B"/>
    <w:rsid w:val="005F4082"/>
    <w:rsid w:val="006431A0"/>
    <w:rsid w:val="00650BA9"/>
    <w:rsid w:val="00655BC1"/>
    <w:rsid w:val="00692207"/>
    <w:rsid w:val="006A41BC"/>
    <w:rsid w:val="006D74AA"/>
    <w:rsid w:val="006D792B"/>
    <w:rsid w:val="006E3700"/>
    <w:rsid w:val="006F0DC5"/>
    <w:rsid w:val="006F3070"/>
    <w:rsid w:val="006F3A0C"/>
    <w:rsid w:val="00727045"/>
    <w:rsid w:val="00734812"/>
    <w:rsid w:val="00751900"/>
    <w:rsid w:val="00753F5F"/>
    <w:rsid w:val="00785932"/>
    <w:rsid w:val="007B0176"/>
    <w:rsid w:val="007E1AE7"/>
    <w:rsid w:val="007F7045"/>
    <w:rsid w:val="00823B15"/>
    <w:rsid w:val="00824DC5"/>
    <w:rsid w:val="008324A8"/>
    <w:rsid w:val="008400F8"/>
    <w:rsid w:val="0084223A"/>
    <w:rsid w:val="008531EE"/>
    <w:rsid w:val="00873ED2"/>
    <w:rsid w:val="00876A52"/>
    <w:rsid w:val="0088463B"/>
    <w:rsid w:val="008B5A36"/>
    <w:rsid w:val="0090316C"/>
    <w:rsid w:val="00930327"/>
    <w:rsid w:val="009435EB"/>
    <w:rsid w:val="00952DDD"/>
    <w:rsid w:val="009566EF"/>
    <w:rsid w:val="00961B44"/>
    <w:rsid w:val="00962087"/>
    <w:rsid w:val="00964E66"/>
    <w:rsid w:val="00993BAE"/>
    <w:rsid w:val="009968B6"/>
    <w:rsid w:val="009A475E"/>
    <w:rsid w:val="009A5A0F"/>
    <w:rsid w:val="009A5E2D"/>
    <w:rsid w:val="009A6461"/>
    <w:rsid w:val="009A73D0"/>
    <w:rsid w:val="009B6E85"/>
    <w:rsid w:val="00A32743"/>
    <w:rsid w:val="00A759B7"/>
    <w:rsid w:val="00A75B90"/>
    <w:rsid w:val="00A80AD3"/>
    <w:rsid w:val="00A900F2"/>
    <w:rsid w:val="00AD1D21"/>
    <w:rsid w:val="00AD3C79"/>
    <w:rsid w:val="00B12247"/>
    <w:rsid w:val="00B20352"/>
    <w:rsid w:val="00B272DC"/>
    <w:rsid w:val="00B3276A"/>
    <w:rsid w:val="00B45116"/>
    <w:rsid w:val="00B46221"/>
    <w:rsid w:val="00B75709"/>
    <w:rsid w:val="00BA366C"/>
    <w:rsid w:val="00C34061"/>
    <w:rsid w:val="00C37ACF"/>
    <w:rsid w:val="00C8047F"/>
    <w:rsid w:val="00C86943"/>
    <w:rsid w:val="00C94636"/>
    <w:rsid w:val="00C94ED7"/>
    <w:rsid w:val="00C97C1B"/>
    <w:rsid w:val="00CA4A11"/>
    <w:rsid w:val="00CB6A66"/>
    <w:rsid w:val="00CD7B58"/>
    <w:rsid w:val="00CE1591"/>
    <w:rsid w:val="00CE1F06"/>
    <w:rsid w:val="00CF0756"/>
    <w:rsid w:val="00CF7A12"/>
    <w:rsid w:val="00D109DE"/>
    <w:rsid w:val="00D2050F"/>
    <w:rsid w:val="00D229E9"/>
    <w:rsid w:val="00D265C5"/>
    <w:rsid w:val="00D326E5"/>
    <w:rsid w:val="00D33CB4"/>
    <w:rsid w:val="00D3454F"/>
    <w:rsid w:val="00D472BF"/>
    <w:rsid w:val="00D74D1D"/>
    <w:rsid w:val="00D949C4"/>
    <w:rsid w:val="00DB5D57"/>
    <w:rsid w:val="00E11D2E"/>
    <w:rsid w:val="00E14E80"/>
    <w:rsid w:val="00E152B4"/>
    <w:rsid w:val="00E54B12"/>
    <w:rsid w:val="00E55578"/>
    <w:rsid w:val="00EA1A3A"/>
    <w:rsid w:val="00EA41C5"/>
    <w:rsid w:val="00EA75B2"/>
    <w:rsid w:val="00EB2F90"/>
    <w:rsid w:val="00EB55FF"/>
    <w:rsid w:val="00EC00AF"/>
    <w:rsid w:val="00EE603E"/>
    <w:rsid w:val="00EF07C4"/>
    <w:rsid w:val="00F0732D"/>
    <w:rsid w:val="00F301F7"/>
    <w:rsid w:val="00F4134E"/>
    <w:rsid w:val="00F5012A"/>
    <w:rsid w:val="00F61067"/>
    <w:rsid w:val="00F65AEC"/>
    <w:rsid w:val="00F834F4"/>
    <w:rsid w:val="00FA0FB6"/>
    <w:rsid w:val="00FB4046"/>
    <w:rsid w:val="00FD728E"/>
    <w:rsid w:val="00FD7EB6"/>
    <w:rsid w:val="00FE76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17F2"/>
  <w15:docId w15:val="{2D3DBA13-2D53-4B0F-9B7B-0D765895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D2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E6F78"/>
    <w:pPr>
      <w:keepNext/>
      <w:ind w:firstLine="2880"/>
      <w:jc w:val="both"/>
      <w:outlineLvl w:val="0"/>
    </w:pPr>
    <w:rPr>
      <w:rFonts w:ascii="Arial" w:eastAsia="Arial Unicode MS"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B5D2C"/>
    <w:pPr>
      <w:ind w:left="2880"/>
      <w:jc w:val="both"/>
    </w:pPr>
    <w:rPr>
      <w:b/>
      <w:bCs/>
      <w:sz w:val="24"/>
      <w:szCs w:val="24"/>
      <w:lang w:val="x-none" w:eastAsia="x-none"/>
    </w:rPr>
  </w:style>
  <w:style w:type="character" w:customStyle="1" w:styleId="RecuodecorpodetextoChar">
    <w:name w:val="Recuo de corpo de texto Char"/>
    <w:basedOn w:val="Fontepargpadro"/>
    <w:link w:val="Recuodecorpodetexto"/>
    <w:rsid w:val="003B5D2C"/>
    <w:rPr>
      <w:rFonts w:ascii="Times New Roman" w:eastAsia="Times New Roman" w:hAnsi="Times New Roman" w:cs="Times New Roman"/>
      <w:b/>
      <w:bCs/>
      <w:sz w:val="24"/>
      <w:szCs w:val="24"/>
      <w:lang w:val="x-none" w:eastAsia="x-none"/>
    </w:rPr>
  </w:style>
  <w:style w:type="paragraph" w:styleId="Recuodecorpodetexto2">
    <w:name w:val="Body Text Indent 2"/>
    <w:basedOn w:val="Normal"/>
    <w:link w:val="Recuodecorpodetexto2Char"/>
    <w:uiPriority w:val="99"/>
    <w:semiHidden/>
    <w:unhideWhenUsed/>
    <w:rsid w:val="002E6F7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E6F7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E6F78"/>
    <w:rPr>
      <w:rFonts w:ascii="Arial" w:eastAsia="Arial Unicode MS" w:hAnsi="Arial" w:cs="Arial"/>
      <w:b/>
      <w:bCs/>
      <w:sz w:val="24"/>
      <w:szCs w:val="24"/>
      <w:lang w:eastAsia="pt-BR"/>
    </w:rPr>
  </w:style>
  <w:style w:type="paragraph" w:styleId="Recuodecorpodetexto3">
    <w:name w:val="Body Text Indent 3"/>
    <w:basedOn w:val="Normal"/>
    <w:link w:val="Recuodecorpodetexto3Char"/>
    <w:uiPriority w:val="99"/>
    <w:unhideWhenUsed/>
    <w:rsid w:val="00C3406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34061"/>
    <w:rPr>
      <w:rFonts w:ascii="Times New Roman" w:eastAsia="Times New Roman" w:hAnsi="Times New Roman" w:cs="Times New Roman"/>
      <w:sz w:val="16"/>
      <w:szCs w:val="16"/>
      <w:lang w:eastAsia="pt-BR"/>
    </w:rPr>
  </w:style>
  <w:style w:type="paragraph" w:customStyle="1" w:styleId="NCNormalCentralizado">
    <w:name w:val="NC Normal Centralizado"/>
    <w:rsid w:val="00F61067"/>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65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82E80"/>
    <w:rPr>
      <w:rFonts w:ascii="Tahoma" w:hAnsi="Tahoma" w:cs="Tahoma"/>
      <w:sz w:val="16"/>
      <w:szCs w:val="16"/>
    </w:rPr>
  </w:style>
  <w:style w:type="character" w:customStyle="1" w:styleId="TextodebaloChar">
    <w:name w:val="Texto de balão Char"/>
    <w:basedOn w:val="Fontepargpadro"/>
    <w:link w:val="Textodebalo"/>
    <w:uiPriority w:val="99"/>
    <w:semiHidden/>
    <w:rsid w:val="00082E80"/>
    <w:rPr>
      <w:rFonts w:ascii="Tahoma" w:eastAsia="Times New Roman" w:hAnsi="Tahoma" w:cs="Tahoma"/>
      <w:sz w:val="16"/>
      <w:szCs w:val="16"/>
      <w:lang w:eastAsia="pt-BR"/>
    </w:rPr>
  </w:style>
  <w:style w:type="paragraph" w:styleId="Cabealho">
    <w:name w:val="header"/>
    <w:basedOn w:val="Normal"/>
    <w:link w:val="CabealhoChar"/>
    <w:uiPriority w:val="99"/>
    <w:unhideWhenUsed/>
    <w:rsid w:val="00D33CB4"/>
    <w:pPr>
      <w:tabs>
        <w:tab w:val="center" w:pos="4252"/>
        <w:tab w:val="right" w:pos="8504"/>
      </w:tabs>
    </w:pPr>
  </w:style>
  <w:style w:type="character" w:customStyle="1" w:styleId="CabealhoChar">
    <w:name w:val="Cabeçalho Char"/>
    <w:basedOn w:val="Fontepargpadro"/>
    <w:link w:val="Cabealho"/>
    <w:uiPriority w:val="99"/>
    <w:rsid w:val="00D33CB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33CB4"/>
    <w:pPr>
      <w:tabs>
        <w:tab w:val="center" w:pos="4252"/>
        <w:tab w:val="right" w:pos="8504"/>
      </w:tabs>
    </w:pPr>
  </w:style>
  <w:style w:type="character" w:customStyle="1" w:styleId="RodapChar">
    <w:name w:val="Rodapé Char"/>
    <w:basedOn w:val="Fontepargpadro"/>
    <w:link w:val="Rodap"/>
    <w:uiPriority w:val="99"/>
    <w:rsid w:val="00D33CB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7934">
      <w:bodyDiv w:val="1"/>
      <w:marLeft w:val="0"/>
      <w:marRight w:val="0"/>
      <w:marTop w:val="0"/>
      <w:marBottom w:val="0"/>
      <w:divBdr>
        <w:top w:val="none" w:sz="0" w:space="0" w:color="auto"/>
        <w:left w:val="none" w:sz="0" w:space="0" w:color="auto"/>
        <w:bottom w:val="none" w:sz="0" w:space="0" w:color="auto"/>
        <w:right w:val="none" w:sz="0" w:space="0" w:color="auto"/>
      </w:divBdr>
    </w:div>
    <w:div w:id="314451476">
      <w:bodyDiv w:val="1"/>
      <w:marLeft w:val="0"/>
      <w:marRight w:val="0"/>
      <w:marTop w:val="0"/>
      <w:marBottom w:val="0"/>
      <w:divBdr>
        <w:top w:val="none" w:sz="0" w:space="0" w:color="auto"/>
        <w:left w:val="none" w:sz="0" w:space="0" w:color="auto"/>
        <w:bottom w:val="none" w:sz="0" w:space="0" w:color="auto"/>
        <w:right w:val="none" w:sz="0" w:space="0" w:color="auto"/>
      </w:divBdr>
    </w:div>
    <w:div w:id="339936966">
      <w:bodyDiv w:val="1"/>
      <w:marLeft w:val="0"/>
      <w:marRight w:val="0"/>
      <w:marTop w:val="0"/>
      <w:marBottom w:val="0"/>
      <w:divBdr>
        <w:top w:val="none" w:sz="0" w:space="0" w:color="auto"/>
        <w:left w:val="none" w:sz="0" w:space="0" w:color="auto"/>
        <w:bottom w:val="none" w:sz="0" w:space="0" w:color="auto"/>
        <w:right w:val="none" w:sz="0" w:space="0" w:color="auto"/>
      </w:divBdr>
    </w:div>
    <w:div w:id="6152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1A0DC-4CA3-476D-86A3-AD77354F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660</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Timoteo</cp:lastModifiedBy>
  <cp:revision>13</cp:revision>
  <cp:lastPrinted>2020-10-28T12:55:00Z</cp:lastPrinted>
  <dcterms:created xsi:type="dcterms:W3CDTF">2020-10-23T13:49:00Z</dcterms:created>
  <dcterms:modified xsi:type="dcterms:W3CDTF">2020-10-28T12:58:00Z</dcterms:modified>
</cp:coreProperties>
</file>