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70" w:rsidRPr="002F5324" w:rsidRDefault="00E85C44" w:rsidP="00E85C44">
      <w:pPr>
        <w:ind w:left="3402"/>
        <w:jc w:val="both"/>
        <w:outlineLvl w:val="0"/>
        <w:rPr>
          <w:b/>
          <w:iCs/>
          <w:sz w:val="22"/>
          <w:szCs w:val="22"/>
        </w:rPr>
      </w:pPr>
      <w:r w:rsidRPr="002F5324">
        <w:rPr>
          <w:b/>
          <w:iCs/>
          <w:sz w:val="22"/>
          <w:szCs w:val="22"/>
        </w:rPr>
        <w:t>PROJETO DE LEI</w:t>
      </w:r>
      <w:bookmarkStart w:id="0" w:name="_GoBack"/>
      <w:bookmarkEnd w:id="0"/>
      <w:r w:rsidRPr="002F5324">
        <w:rPr>
          <w:b/>
          <w:iCs/>
          <w:sz w:val="22"/>
          <w:szCs w:val="22"/>
        </w:rPr>
        <w:t xml:space="preserve"> Nº </w:t>
      </w:r>
      <w:r w:rsidR="002F5324" w:rsidRPr="002F5324">
        <w:rPr>
          <w:b/>
          <w:iCs/>
          <w:sz w:val="22"/>
          <w:szCs w:val="22"/>
        </w:rPr>
        <w:t>49/2022</w:t>
      </w:r>
    </w:p>
    <w:p w:rsidR="00020470" w:rsidRPr="002F5324" w:rsidRDefault="00020470" w:rsidP="00E85C44">
      <w:pPr>
        <w:ind w:left="3402"/>
        <w:jc w:val="both"/>
        <w:outlineLvl w:val="0"/>
        <w:rPr>
          <w:b/>
          <w:iCs/>
          <w:sz w:val="22"/>
          <w:szCs w:val="22"/>
        </w:rPr>
      </w:pPr>
    </w:p>
    <w:p w:rsidR="00020470" w:rsidRPr="002F5324" w:rsidRDefault="00020470" w:rsidP="00E85C44">
      <w:pPr>
        <w:ind w:left="3402"/>
        <w:jc w:val="both"/>
        <w:outlineLvl w:val="0"/>
        <w:rPr>
          <w:b/>
          <w:iCs/>
          <w:sz w:val="22"/>
          <w:szCs w:val="22"/>
        </w:rPr>
      </w:pPr>
    </w:p>
    <w:p w:rsidR="00020470" w:rsidRPr="002F5324" w:rsidRDefault="00E85C44" w:rsidP="00E85C44">
      <w:pPr>
        <w:ind w:left="3402"/>
        <w:jc w:val="both"/>
        <w:outlineLvl w:val="0"/>
        <w:rPr>
          <w:iCs/>
          <w:sz w:val="22"/>
          <w:szCs w:val="22"/>
        </w:rPr>
      </w:pPr>
      <w:r w:rsidRPr="002F5324">
        <w:rPr>
          <w:iCs/>
          <w:sz w:val="22"/>
          <w:szCs w:val="22"/>
        </w:rPr>
        <w:t>Data: 27 de abril de 2022</w:t>
      </w:r>
    </w:p>
    <w:p w:rsidR="00020470" w:rsidRPr="002F5324" w:rsidRDefault="00020470" w:rsidP="00E85C44">
      <w:pPr>
        <w:ind w:left="3402"/>
        <w:jc w:val="both"/>
        <w:outlineLvl w:val="0"/>
        <w:rPr>
          <w:sz w:val="22"/>
          <w:szCs w:val="22"/>
        </w:rPr>
      </w:pPr>
    </w:p>
    <w:p w:rsidR="002F5324" w:rsidRPr="002F5324" w:rsidRDefault="002F5324" w:rsidP="00E85C44">
      <w:pPr>
        <w:ind w:left="3402"/>
        <w:jc w:val="both"/>
        <w:outlineLvl w:val="0"/>
        <w:rPr>
          <w:sz w:val="22"/>
          <w:szCs w:val="22"/>
        </w:rPr>
      </w:pPr>
    </w:p>
    <w:p w:rsidR="00020470" w:rsidRPr="002F5324" w:rsidRDefault="00E85C44" w:rsidP="00E85C44">
      <w:pPr>
        <w:ind w:left="3402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“Institui o “Programa Farmácia Solidária” para a conscientização, doação, reaproveitamento e distribuição de medicamentos para a população e a sua destinação final adequada”.</w:t>
      </w:r>
    </w:p>
    <w:p w:rsidR="00020470" w:rsidRPr="002F5324" w:rsidRDefault="00020470" w:rsidP="00E85C44">
      <w:pPr>
        <w:ind w:left="3402"/>
        <w:jc w:val="both"/>
        <w:rPr>
          <w:b/>
          <w:bCs/>
          <w:iCs/>
          <w:sz w:val="22"/>
          <w:szCs w:val="22"/>
        </w:rPr>
      </w:pPr>
    </w:p>
    <w:p w:rsidR="002F5324" w:rsidRPr="002F5324" w:rsidRDefault="002F5324" w:rsidP="00E85C44">
      <w:pPr>
        <w:ind w:left="3402"/>
        <w:jc w:val="both"/>
        <w:rPr>
          <w:b/>
          <w:bCs/>
          <w:iCs/>
          <w:sz w:val="22"/>
          <w:szCs w:val="22"/>
        </w:rPr>
      </w:pPr>
    </w:p>
    <w:p w:rsidR="00020470" w:rsidRPr="002F5324" w:rsidRDefault="00E85C44" w:rsidP="00E85C44">
      <w:pPr>
        <w:ind w:left="3402"/>
        <w:jc w:val="both"/>
        <w:rPr>
          <w:bCs/>
          <w:iCs/>
          <w:sz w:val="22"/>
          <w:szCs w:val="22"/>
        </w:rPr>
      </w:pPr>
      <w:r w:rsidRPr="002F5324">
        <w:rPr>
          <w:b/>
          <w:bCs/>
          <w:sz w:val="22"/>
          <w:szCs w:val="22"/>
        </w:rPr>
        <w:t xml:space="preserve">CELSO KOZAK – PSDB </w:t>
      </w:r>
      <w:r w:rsidRPr="002F5324">
        <w:rPr>
          <w:bCs/>
          <w:iCs/>
          <w:sz w:val="22"/>
          <w:szCs w:val="22"/>
        </w:rPr>
        <w:t>e vereadores</w:t>
      </w:r>
      <w:r w:rsidRPr="002F5324">
        <w:rPr>
          <w:bCs/>
          <w:iCs/>
          <w:sz w:val="22"/>
          <w:szCs w:val="22"/>
        </w:rPr>
        <w:t xml:space="preserve"> abaixo assinados, com assento nesta Casa, com fulcro no Artigo 108, do Regimento Interno, encaminham para deliberação do Soberano Plenário o seguinte Projeto de Lei:</w:t>
      </w:r>
    </w:p>
    <w:p w:rsidR="00020470" w:rsidRPr="002F5324" w:rsidRDefault="00020470" w:rsidP="002F5324">
      <w:pPr>
        <w:ind w:left="2835"/>
        <w:jc w:val="both"/>
        <w:rPr>
          <w:bCs/>
          <w:iCs/>
          <w:sz w:val="22"/>
          <w:szCs w:val="22"/>
        </w:rPr>
      </w:pPr>
    </w:p>
    <w:p w:rsidR="00020470" w:rsidRPr="002F5324" w:rsidRDefault="00020470" w:rsidP="002F5324">
      <w:pPr>
        <w:ind w:left="2835"/>
        <w:jc w:val="both"/>
        <w:rPr>
          <w:bCs/>
          <w:iCs/>
          <w:sz w:val="22"/>
          <w:szCs w:val="22"/>
        </w:rPr>
      </w:pPr>
    </w:p>
    <w:p w:rsidR="00020470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Art. 1º Fica instituído no Município de Sorriso o Programa “Farmácia Solidária”, que te</w:t>
      </w:r>
      <w:r w:rsidRPr="002F5324">
        <w:rPr>
          <w:sz w:val="22"/>
          <w:szCs w:val="22"/>
        </w:rPr>
        <w:t>m o objetivo de conscientizar a população e viabilizar a doação, o reaproveitamento e a distribuição para a população de medicamentos em condições de uso e a destinação final adequado dos medicamentos que não tenham mais condições de uso, com objetivo de a</w:t>
      </w:r>
      <w:r w:rsidRPr="002F5324">
        <w:rPr>
          <w:sz w:val="22"/>
          <w:szCs w:val="22"/>
        </w:rPr>
        <w:t>uxiliar no tratamento de saúde das pessoas, por meio do acesso gratuito aos medicamentos, provenientes de doações da comunidade e instituições da sociedade civil.</w:t>
      </w: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§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>1º O Programa de que trata o caput funcionará como um serviço complementar às farmácias bási</w:t>
      </w:r>
      <w:r w:rsidRPr="002F5324">
        <w:rPr>
          <w:sz w:val="22"/>
          <w:szCs w:val="22"/>
        </w:rPr>
        <w:t>cas do SUS.</w:t>
      </w: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§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>2º O acesso aos medicamentos seguirá os princípios do SUS de universalização, equidade e integralidade, nos termos da Lei nº 8.080, de 19 de setembro de 1990.</w:t>
      </w: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Art. 2º O Programa consiste em receber doação de medicamentos não utilizados oriundo</w:t>
      </w:r>
      <w:r w:rsidRPr="002F5324">
        <w:rPr>
          <w:sz w:val="22"/>
          <w:szCs w:val="22"/>
        </w:rPr>
        <w:t>s da população, clínicas e profissionais da saúde, empresas do segmento farmacêutico e sua subsequente dispensação gratuita à população, sob responsabilidade técnica de um farmacêutico, após rigoroso controle de sua integridade.</w:t>
      </w: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§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>1º As regras para recebime</w:t>
      </w:r>
      <w:r w:rsidRPr="002F5324">
        <w:rPr>
          <w:sz w:val="22"/>
          <w:szCs w:val="22"/>
        </w:rPr>
        <w:t>nto das doações de medicamentos provenientes de pessoa física, jurídica ou profissional liberal, sejam elas empresas do segmento farmacêutico, clínicas, hospitais e profissionais da saúde, dentre outros, serão estabelecidas através de diretrizes.</w:t>
      </w: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§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>2º Serão</w:t>
      </w:r>
      <w:r w:rsidRPr="002F5324">
        <w:rPr>
          <w:sz w:val="22"/>
          <w:szCs w:val="22"/>
        </w:rPr>
        <w:t xml:space="preserve"> redistribuídos medicamentos nas condições sanitárias previstas em normas legais e regulamentares e dentro do prazo de validade.</w:t>
      </w: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Art. 3º O Programa Farmácia Solidária tem como atribuições:</w:t>
      </w: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I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 xml:space="preserve">- </w:t>
      </w:r>
      <w:proofErr w:type="gramStart"/>
      <w:r w:rsidRPr="002F5324">
        <w:rPr>
          <w:sz w:val="22"/>
          <w:szCs w:val="22"/>
        </w:rPr>
        <w:t>efetuar</w:t>
      </w:r>
      <w:proofErr w:type="gramEnd"/>
      <w:r w:rsidRPr="002F5324">
        <w:rPr>
          <w:sz w:val="22"/>
          <w:szCs w:val="22"/>
        </w:rPr>
        <w:t xml:space="preserve"> o recebimento de doações de medicamentos de pessoas físi</w:t>
      </w:r>
      <w:r w:rsidRPr="002F5324">
        <w:rPr>
          <w:sz w:val="22"/>
          <w:szCs w:val="22"/>
        </w:rPr>
        <w:t>cas ou jurídicas;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I</w:t>
      </w:r>
      <w:r w:rsidR="002F5324" w:rsidRPr="002F5324">
        <w:rPr>
          <w:sz w:val="22"/>
          <w:szCs w:val="22"/>
        </w:rPr>
        <w:t xml:space="preserve"> </w:t>
      </w:r>
      <w:proofErr w:type="spellStart"/>
      <w:r w:rsidRPr="002F5324">
        <w:rPr>
          <w:sz w:val="22"/>
          <w:szCs w:val="22"/>
        </w:rPr>
        <w:t>I</w:t>
      </w:r>
      <w:proofErr w:type="spellEnd"/>
      <w:r w:rsidRPr="002F5324">
        <w:rPr>
          <w:sz w:val="22"/>
          <w:szCs w:val="22"/>
        </w:rPr>
        <w:t>- implantar o fluxograma de coleta e armazenamento;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III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>- planejar, desenvolver e implementar boas práticas de recebimento, armazenamento, dispensação e descarte de medicamentos;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IV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 xml:space="preserve">- </w:t>
      </w:r>
      <w:proofErr w:type="gramStart"/>
      <w:r w:rsidRPr="002F5324">
        <w:rPr>
          <w:sz w:val="22"/>
          <w:szCs w:val="22"/>
        </w:rPr>
        <w:t>efetuar</w:t>
      </w:r>
      <w:proofErr w:type="gramEnd"/>
      <w:r w:rsidRPr="002F5324">
        <w:rPr>
          <w:sz w:val="22"/>
          <w:szCs w:val="22"/>
        </w:rPr>
        <w:t xml:space="preserve"> a triagem dos medicamentos doados ao Programa,</w:t>
      </w:r>
      <w:r w:rsidRPr="002F5324">
        <w:rPr>
          <w:sz w:val="22"/>
          <w:szCs w:val="22"/>
        </w:rPr>
        <w:t xml:space="preserve"> observando o rígido controle de integridade física e prazo de validade;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V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 xml:space="preserve">- </w:t>
      </w:r>
      <w:proofErr w:type="gramStart"/>
      <w:r w:rsidRPr="002F5324">
        <w:rPr>
          <w:sz w:val="22"/>
          <w:szCs w:val="22"/>
        </w:rPr>
        <w:t>efetuar</w:t>
      </w:r>
      <w:proofErr w:type="gramEnd"/>
      <w:r w:rsidRPr="002F5324">
        <w:rPr>
          <w:sz w:val="22"/>
          <w:szCs w:val="22"/>
        </w:rPr>
        <w:t xml:space="preserve"> o descarte dos medicamentos vencidos ou que tenham a sua qualidade prejudicada, observando o Plano de Gerenciamento de Resíduos de Serviços de Saúde e as legislações pertin</w:t>
      </w:r>
      <w:r w:rsidRPr="002F5324">
        <w:rPr>
          <w:sz w:val="22"/>
          <w:szCs w:val="22"/>
        </w:rPr>
        <w:t>entes;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lastRenderedPageBreak/>
        <w:t>VI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 xml:space="preserve">- </w:t>
      </w:r>
      <w:proofErr w:type="gramStart"/>
      <w:r w:rsidRPr="002F5324">
        <w:rPr>
          <w:sz w:val="22"/>
          <w:szCs w:val="22"/>
        </w:rPr>
        <w:t>efetuar</w:t>
      </w:r>
      <w:proofErr w:type="gramEnd"/>
      <w:r w:rsidRPr="002F5324">
        <w:rPr>
          <w:sz w:val="22"/>
          <w:szCs w:val="22"/>
        </w:rPr>
        <w:t xml:space="preserve"> o registro de entrada e saída dos medicamentos recebidos em doação por princípio ativo, fabricante, validade, lote de fabricação, dados do beneficiário e outras informações exigidas por Lei, que permita a rastreabilidade dos mesmos quand</w:t>
      </w:r>
      <w:r w:rsidRPr="002F5324">
        <w:rPr>
          <w:sz w:val="22"/>
          <w:szCs w:val="22"/>
        </w:rPr>
        <w:t xml:space="preserve">o necessário; 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VII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>- incorporar e dar entrada no estoque, controle de qualidade, prazo de validade, realizados obrigatoriamente por profissional farmacêutico, podendo ser auxiliado por voluntários, estagiários estudantes de farmácia ou áreas afins;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VIII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 xml:space="preserve">- </w:t>
      </w:r>
      <w:r w:rsidRPr="002F5324">
        <w:rPr>
          <w:sz w:val="22"/>
          <w:szCs w:val="22"/>
        </w:rPr>
        <w:t>efetuar a dispensação gratuita de medicamentos doados, observadas as legislações federais e estaduais;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IX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 xml:space="preserve">- </w:t>
      </w:r>
      <w:proofErr w:type="gramStart"/>
      <w:r w:rsidRPr="002F5324">
        <w:rPr>
          <w:sz w:val="22"/>
          <w:szCs w:val="22"/>
        </w:rPr>
        <w:t>incentivar</w:t>
      </w:r>
      <w:proofErr w:type="gramEnd"/>
      <w:r w:rsidRPr="002F5324">
        <w:rPr>
          <w:sz w:val="22"/>
          <w:szCs w:val="22"/>
        </w:rPr>
        <w:t xml:space="preserve"> a participação da sociedade civil, organizações governamentais e não governamentais, nas ações do Programa Farmácia Solidária;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X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 xml:space="preserve">- </w:t>
      </w:r>
      <w:proofErr w:type="gramStart"/>
      <w:r w:rsidRPr="002F5324">
        <w:rPr>
          <w:sz w:val="22"/>
          <w:szCs w:val="22"/>
        </w:rPr>
        <w:t>manter</w:t>
      </w:r>
      <w:proofErr w:type="gramEnd"/>
      <w:r w:rsidRPr="002F5324">
        <w:rPr>
          <w:sz w:val="22"/>
          <w:szCs w:val="22"/>
        </w:rPr>
        <w:t xml:space="preserve"> i</w:t>
      </w:r>
      <w:r w:rsidRPr="002F5324">
        <w:rPr>
          <w:sz w:val="22"/>
          <w:szCs w:val="22"/>
        </w:rPr>
        <w:t>ntercâmbio com outros municípios visando à manutenção e desenvolvimento do Programa mediante permuta de medicamentos;</w:t>
      </w: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XI</w:t>
      </w:r>
      <w:r w:rsidR="002F5324" w:rsidRPr="002F5324">
        <w:rPr>
          <w:sz w:val="22"/>
          <w:szCs w:val="22"/>
        </w:rPr>
        <w:t xml:space="preserve"> </w:t>
      </w:r>
      <w:r w:rsidRPr="002F5324">
        <w:rPr>
          <w:sz w:val="22"/>
          <w:szCs w:val="22"/>
        </w:rPr>
        <w:t>- efetuar o desenvolvimento de melhorias contínuas do Programa, visando o aprimoramento do sistema e benefícios aos usuários.</w:t>
      </w:r>
    </w:p>
    <w:p w:rsid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Art. 4º Os</w:t>
      </w:r>
      <w:r w:rsidRPr="002F5324">
        <w:rPr>
          <w:sz w:val="22"/>
          <w:szCs w:val="22"/>
        </w:rPr>
        <w:t xml:space="preserve"> medicamentos sujeitos ao controle especial devem ser armazenados conforme legislação vigente.</w:t>
      </w: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Art. 5º Por se tratar de um programa complementar à</w:t>
      </w:r>
      <w:r w:rsidRPr="002F5324">
        <w:rPr>
          <w:sz w:val="22"/>
          <w:szCs w:val="22"/>
        </w:rPr>
        <w:t xml:space="preserve"> Política Nacional de Medicamentos, fica a Administração Municipal isenta de qualquer obrigatoriedade quanto a aquisição de quantitativos dos medicamentos, a nível deste Programa, com intuito de completar ou complementar o tratamento dos pacientes atendido</w:t>
      </w:r>
      <w:r w:rsidRPr="002F5324">
        <w:rPr>
          <w:sz w:val="22"/>
          <w:szCs w:val="22"/>
        </w:rPr>
        <w:t>s.</w:t>
      </w: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Pr="002F5324" w:rsidRDefault="00E85C44" w:rsidP="002F5324">
      <w:pPr>
        <w:ind w:firstLine="1418"/>
        <w:jc w:val="both"/>
        <w:rPr>
          <w:sz w:val="22"/>
          <w:szCs w:val="22"/>
        </w:rPr>
      </w:pPr>
      <w:r w:rsidRPr="002F5324">
        <w:rPr>
          <w:sz w:val="22"/>
          <w:szCs w:val="22"/>
        </w:rPr>
        <w:t>Art. 6</w:t>
      </w:r>
      <w:r w:rsidR="002F5324" w:rsidRPr="002F5324">
        <w:rPr>
          <w:sz w:val="22"/>
          <w:szCs w:val="22"/>
        </w:rPr>
        <w:t>° Esta</w:t>
      </w:r>
      <w:r w:rsidRPr="002F5324">
        <w:rPr>
          <w:sz w:val="22"/>
          <w:szCs w:val="22"/>
        </w:rPr>
        <w:t xml:space="preserve"> Lei entra</w:t>
      </w:r>
      <w:r w:rsidR="002F5324" w:rsidRPr="002F5324">
        <w:rPr>
          <w:sz w:val="22"/>
          <w:szCs w:val="22"/>
        </w:rPr>
        <w:t xml:space="preserve"> em vigor</w:t>
      </w:r>
      <w:r w:rsidRPr="002F5324">
        <w:rPr>
          <w:sz w:val="22"/>
          <w:szCs w:val="22"/>
        </w:rPr>
        <w:t xml:space="preserve"> na data da sua publicação.</w:t>
      </w:r>
    </w:p>
    <w:p w:rsidR="00020470" w:rsidRDefault="00020470" w:rsidP="002F5324">
      <w:pPr>
        <w:ind w:firstLine="1418"/>
        <w:jc w:val="both"/>
        <w:rPr>
          <w:sz w:val="22"/>
          <w:szCs w:val="22"/>
        </w:rPr>
      </w:pPr>
    </w:p>
    <w:p w:rsidR="002F5324" w:rsidRPr="002F5324" w:rsidRDefault="002F5324" w:rsidP="002F5324">
      <w:pPr>
        <w:ind w:firstLine="1418"/>
        <w:jc w:val="both"/>
        <w:rPr>
          <w:sz w:val="22"/>
          <w:szCs w:val="22"/>
        </w:rPr>
      </w:pPr>
    </w:p>
    <w:p w:rsidR="00020470" w:rsidRPr="002F5324" w:rsidRDefault="00E85C44" w:rsidP="002F5324">
      <w:pPr>
        <w:ind w:firstLine="1418"/>
        <w:jc w:val="both"/>
        <w:rPr>
          <w:iCs/>
          <w:sz w:val="22"/>
          <w:szCs w:val="22"/>
        </w:rPr>
      </w:pPr>
      <w:r w:rsidRPr="002F5324">
        <w:rPr>
          <w:iCs/>
          <w:sz w:val="22"/>
          <w:szCs w:val="22"/>
        </w:rPr>
        <w:t>Câmara Municipal de Sorriso, Estado de Mato Grosso, em 27 de abril de 2022.</w:t>
      </w:r>
    </w:p>
    <w:p w:rsidR="00020470" w:rsidRPr="002F5324" w:rsidRDefault="00020470" w:rsidP="002F532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20470" w:rsidRDefault="00020470" w:rsidP="002F5324">
      <w:pPr>
        <w:ind w:firstLine="1418"/>
        <w:jc w:val="both"/>
        <w:rPr>
          <w:color w:val="000000"/>
          <w:sz w:val="22"/>
          <w:szCs w:val="22"/>
        </w:rPr>
      </w:pPr>
    </w:p>
    <w:p w:rsidR="002F5324" w:rsidRDefault="002F5324" w:rsidP="002F5324">
      <w:pPr>
        <w:ind w:firstLine="1418"/>
        <w:jc w:val="both"/>
        <w:rPr>
          <w:color w:val="000000"/>
          <w:sz w:val="22"/>
          <w:szCs w:val="22"/>
        </w:rPr>
      </w:pPr>
    </w:p>
    <w:p w:rsidR="002F5324" w:rsidRPr="002F5324" w:rsidRDefault="002F5324" w:rsidP="002F5324">
      <w:pPr>
        <w:ind w:firstLine="1418"/>
        <w:jc w:val="both"/>
        <w:rPr>
          <w:color w:val="000000"/>
          <w:sz w:val="22"/>
          <w:szCs w:val="22"/>
        </w:rPr>
      </w:pPr>
    </w:p>
    <w:p w:rsidR="00020470" w:rsidRPr="002F5324" w:rsidRDefault="00E85C44" w:rsidP="002F532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2F5324">
        <w:rPr>
          <w:b/>
          <w:bCs/>
          <w:color w:val="000000"/>
          <w:sz w:val="22"/>
          <w:szCs w:val="22"/>
        </w:rPr>
        <w:t>CELSO KOZAK</w:t>
      </w:r>
    </w:p>
    <w:p w:rsidR="00020470" w:rsidRDefault="00E85C44" w:rsidP="002F532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2F5324">
        <w:rPr>
          <w:b/>
          <w:bCs/>
          <w:color w:val="000000"/>
          <w:sz w:val="22"/>
          <w:szCs w:val="22"/>
        </w:rPr>
        <w:t xml:space="preserve">Vereador PSDB </w:t>
      </w:r>
    </w:p>
    <w:p w:rsidR="002F5324" w:rsidRPr="002F5324" w:rsidRDefault="002F5324" w:rsidP="002F532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020470" w:rsidRPr="002F5324" w:rsidRDefault="00020470" w:rsidP="002F532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020470" w:rsidRPr="002F5324" w:rsidRDefault="00020470" w:rsidP="002F532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BC3FCE" w:rsidRPr="002F5324" w:rsidTr="00A41EB9">
        <w:trPr>
          <w:trHeight w:val="902"/>
        </w:trPr>
        <w:tc>
          <w:tcPr>
            <w:tcW w:w="2728" w:type="dxa"/>
            <w:gridSpan w:val="2"/>
            <w:shd w:val="clear" w:color="auto" w:fill="auto"/>
          </w:tcPr>
          <w:p w:rsidR="00020470" w:rsidRPr="002F5324" w:rsidRDefault="00E85C44" w:rsidP="002F53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F5324">
              <w:rPr>
                <w:rFonts w:eastAsia="Calibri"/>
                <w:b/>
                <w:sz w:val="22"/>
                <w:szCs w:val="22"/>
              </w:rPr>
              <w:t xml:space="preserve">DAMIANI </w:t>
            </w:r>
          </w:p>
          <w:p w:rsidR="00020470" w:rsidRPr="002F5324" w:rsidRDefault="00E85C44" w:rsidP="002F53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F5324"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020470" w:rsidRPr="002F5324" w:rsidRDefault="00020470" w:rsidP="002F53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020470" w:rsidRPr="002F5324" w:rsidRDefault="00E85C44" w:rsidP="002F532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020470" w:rsidRPr="002F5324" w:rsidRDefault="00E85C44" w:rsidP="002F532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020470" w:rsidRPr="002F5324" w:rsidRDefault="00E85C44" w:rsidP="002F532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020470" w:rsidRPr="002F5324" w:rsidRDefault="00E85C44" w:rsidP="002F53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F5324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020470" w:rsidRPr="002F5324" w:rsidRDefault="00020470" w:rsidP="002F53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020470" w:rsidRPr="002F5324" w:rsidRDefault="00020470" w:rsidP="002F53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020470" w:rsidRPr="002F5324" w:rsidRDefault="00020470" w:rsidP="002F53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C3FCE" w:rsidRPr="002F5324" w:rsidTr="00A41EB9">
        <w:tc>
          <w:tcPr>
            <w:tcW w:w="2461" w:type="dxa"/>
            <w:shd w:val="clear" w:color="auto" w:fill="auto"/>
          </w:tcPr>
          <w:p w:rsidR="00020470" w:rsidRPr="002F5324" w:rsidRDefault="00E85C44" w:rsidP="002F532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IAGO </w:t>
            </w:r>
            <w:r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>MELLA</w:t>
            </w:r>
          </w:p>
          <w:p w:rsidR="00020470" w:rsidRPr="002F5324" w:rsidRDefault="00E85C44" w:rsidP="002F53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020470" w:rsidRPr="002F5324" w:rsidRDefault="00E85C44" w:rsidP="002F532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020470" w:rsidRPr="002F5324" w:rsidRDefault="00E85C44" w:rsidP="002F53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F5324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20470" w:rsidRPr="002F5324" w:rsidRDefault="00E85C44" w:rsidP="002F532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020470" w:rsidRPr="002F5324" w:rsidRDefault="00E85C44" w:rsidP="002F53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F5324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020470" w:rsidRPr="002F5324" w:rsidRDefault="00E85C44" w:rsidP="002F532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020470" w:rsidRPr="002F5324" w:rsidRDefault="00E85C44" w:rsidP="002F532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020470" w:rsidRPr="002F5324" w:rsidRDefault="00020470" w:rsidP="002F532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20470" w:rsidRPr="002F5324" w:rsidRDefault="00020470" w:rsidP="002F53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20470" w:rsidRPr="002F5324" w:rsidRDefault="00020470" w:rsidP="002F5324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BC3FCE" w:rsidRPr="002F5324" w:rsidTr="00A41EB9">
        <w:tc>
          <w:tcPr>
            <w:tcW w:w="250" w:type="dxa"/>
            <w:shd w:val="clear" w:color="auto" w:fill="auto"/>
          </w:tcPr>
          <w:p w:rsidR="00020470" w:rsidRPr="002F5324" w:rsidRDefault="00020470" w:rsidP="002F53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20470" w:rsidRPr="002F5324" w:rsidRDefault="00E85C44" w:rsidP="002F532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color w:val="000000"/>
                <w:sz w:val="22"/>
                <w:szCs w:val="22"/>
              </w:rPr>
              <w:t>WANDERLEY PAULO</w:t>
            </w:r>
          </w:p>
          <w:p w:rsidR="00020470" w:rsidRPr="002F5324" w:rsidRDefault="00E85C44" w:rsidP="002F53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F5324">
              <w:rPr>
                <w:rFonts w:eastAsia="Calibri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020470" w:rsidRPr="002F5324" w:rsidRDefault="00E85C44" w:rsidP="002F532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020470" w:rsidRPr="002F5324" w:rsidRDefault="002F5324" w:rsidP="002F532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E85C44"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eador MDB                     </w:t>
            </w:r>
            <w:r w:rsidR="00E85C44" w:rsidRPr="002F5324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</w:tbl>
    <w:p w:rsidR="00020470" w:rsidRPr="002F5324" w:rsidRDefault="00020470" w:rsidP="002F5324">
      <w:pPr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</w:p>
    <w:sectPr w:rsidR="00020470" w:rsidRPr="002F5324" w:rsidSect="00663D03">
      <w:pgSz w:w="11906" w:h="16838"/>
      <w:pgMar w:top="2410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8C"/>
    <w:rsid w:val="00016F4F"/>
    <w:rsid w:val="00020470"/>
    <w:rsid w:val="000F01F2"/>
    <w:rsid w:val="001E6491"/>
    <w:rsid w:val="00240908"/>
    <w:rsid w:val="00254F43"/>
    <w:rsid w:val="002934B3"/>
    <w:rsid w:val="002F5324"/>
    <w:rsid w:val="00370ED7"/>
    <w:rsid w:val="0041148C"/>
    <w:rsid w:val="004D39A4"/>
    <w:rsid w:val="005F3770"/>
    <w:rsid w:val="005F3CE7"/>
    <w:rsid w:val="00663D03"/>
    <w:rsid w:val="00665535"/>
    <w:rsid w:val="006F0E82"/>
    <w:rsid w:val="007218DA"/>
    <w:rsid w:val="00824780"/>
    <w:rsid w:val="009157C0"/>
    <w:rsid w:val="00A3343F"/>
    <w:rsid w:val="00AA2E39"/>
    <w:rsid w:val="00BC3FCE"/>
    <w:rsid w:val="00C223D1"/>
    <w:rsid w:val="00D42734"/>
    <w:rsid w:val="00D7733E"/>
    <w:rsid w:val="00D866E4"/>
    <w:rsid w:val="00E56C0F"/>
    <w:rsid w:val="00E85C44"/>
    <w:rsid w:val="00ED1D03"/>
    <w:rsid w:val="00EE2C45"/>
    <w:rsid w:val="00F24FA2"/>
    <w:rsid w:val="00F86C15"/>
    <w:rsid w:val="00FB55A5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0FE6"/>
  <w15:docId w15:val="{A8DB42CB-FCAB-47C8-B6C5-38385CD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148C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148C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1148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14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114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B55A5"/>
    <w:rPr>
      <w:b/>
      <w:bCs/>
    </w:rPr>
  </w:style>
  <w:style w:type="character" w:styleId="Hyperlink">
    <w:name w:val="Hyperlink"/>
    <w:basedOn w:val="Fontepargpadro"/>
    <w:uiPriority w:val="99"/>
    <w:unhideWhenUsed/>
    <w:rsid w:val="00FB55A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377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37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F3770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4780"/>
    <w:pPr>
      <w:keepLines/>
      <w:tabs>
        <w:tab w:val="clear" w:pos="2542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24780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09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90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E5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204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2047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3EC1-92CE-41D6-97A1-8C4A9E35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Timoteo</cp:lastModifiedBy>
  <cp:revision>4</cp:revision>
  <cp:lastPrinted>2022-04-27T15:30:00Z</cp:lastPrinted>
  <dcterms:created xsi:type="dcterms:W3CDTF">2022-04-27T15:10:00Z</dcterms:created>
  <dcterms:modified xsi:type="dcterms:W3CDTF">2022-04-27T15:36:00Z</dcterms:modified>
</cp:coreProperties>
</file>