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DB0807">
        <w:rPr>
          <w:rFonts w:ascii="Times New Roman" w:hAnsi="Times New Roman"/>
          <w:b/>
          <w:bCs/>
          <w:sz w:val="23"/>
          <w:szCs w:val="23"/>
        </w:rPr>
        <w:t>PARECER DA COMISSÃO DE ECOLOGIA E MEIO AMBIENTE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B0807" w:rsidRPr="00DB0807" w:rsidRDefault="00DB0807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DB0807">
        <w:rPr>
          <w:rFonts w:ascii="Times New Roman" w:hAnsi="Times New Roman"/>
          <w:b/>
          <w:bCs/>
          <w:sz w:val="23"/>
          <w:szCs w:val="23"/>
        </w:rPr>
        <w:t xml:space="preserve">PARECER N° </w:t>
      </w:r>
      <w:r w:rsidR="00DB0807" w:rsidRPr="00DB0807">
        <w:rPr>
          <w:rFonts w:ascii="Times New Roman" w:hAnsi="Times New Roman"/>
          <w:b/>
          <w:bCs/>
          <w:sz w:val="23"/>
          <w:szCs w:val="23"/>
        </w:rPr>
        <w:t>032/2015.</w:t>
      </w:r>
    </w:p>
    <w:p w:rsidR="00DB0807" w:rsidRPr="00DB0807" w:rsidRDefault="00DB0807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DB0807">
        <w:rPr>
          <w:rFonts w:ascii="Times New Roman" w:hAnsi="Times New Roman"/>
          <w:b/>
          <w:bCs/>
          <w:sz w:val="23"/>
          <w:szCs w:val="23"/>
        </w:rPr>
        <w:t>DATA</w:t>
      </w:r>
      <w:r w:rsidRPr="00DB0807">
        <w:rPr>
          <w:rFonts w:ascii="Times New Roman" w:hAnsi="Times New Roman"/>
          <w:bCs/>
          <w:sz w:val="23"/>
          <w:szCs w:val="23"/>
        </w:rPr>
        <w:t>: 2</w:t>
      </w:r>
      <w:r w:rsidR="00DB0807" w:rsidRPr="00DB0807">
        <w:rPr>
          <w:rFonts w:ascii="Times New Roman" w:hAnsi="Times New Roman"/>
          <w:bCs/>
          <w:sz w:val="23"/>
          <w:szCs w:val="23"/>
        </w:rPr>
        <w:t>8</w:t>
      </w:r>
      <w:r w:rsidRPr="00DB0807">
        <w:rPr>
          <w:rFonts w:ascii="Times New Roman" w:hAnsi="Times New Roman"/>
          <w:bCs/>
          <w:sz w:val="23"/>
          <w:szCs w:val="23"/>
        </w:rPr>
        <w:t>/10/</w:t>
      </w:r>
      <w:r w:rsidRPr="00DB0807">
        <w:rPr>
          <w:rFonts w:ascii="Times New Roman" w:hAnsi="Times New Roman"/>
          <w:sz w:val="23"/>
          <w:szCs w:val="23"/>
        </w:rPr>
        <w:t>2015.</w:t>
      </w:r>
    </w:p>
    <w:p w:rsidR="00DB0807" w:rsidRPr="00DB0807" w:rsidRDefault="00DB0807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DB0807">
        <w:rPr>
          <w:rFonts w:ascii="Times New Roman" w:hAnsi="Times New Roman"/>
          <w:b/>
          <w:bCs/>
          <w:sz w:val="23"/>
          <w:szCs w:val="23"/>
        </w:rPr>
        <w:t>ASSUNTO:</w:t>
      </w:r>
      <w:r w:rsidRPr="00DB0807">
        <w:rPr>
          <w:rFonts w:ascii="Times New Roman" w:hAnsi="Times New Roman"/>
          <w:sz w:val="23"/>
          <w:szCs w:val="23"/>
        </w:rPr>
        <w:t xml:space="preserve"> PROJETO DE LEI N° 110/2015.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DB0807">
        <w:rPr>
          <w:rFonts w:ascii="Times New Roman" w:hAnsi="Times New Roman"/>
          <w:b/>
          <w:bCs/>
          <w:sz w:val="23"/>
          <w:szCs w:val="23"/>
        </w:rPr>
        <w:t xml:space="preserve">EMENTA: </w:t>
      </w:r>
      <w:r w:rsidRPr="00DB0807">
        <w:rPr>
          <w:rFonts w:ascii="Times New Roman" w:hAnsi="Times New Roman"/>
          <w:bCs/>
          <w:sz w:val="23"/>
          <w:szCs w:val="23"/>
        </w:rPr>
        <w:t>AUTORIZA O PODER EXECUTIVO MUNICIPAL A DISPOR SOBRE AS DIRETRIZES PARA A ELABORAÇÃO DA LEI ORÇAMENTÁRIA DE 2016, E DÁ OUTRAS PROVIDÊNCIAS.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DB0807">
        <w:rPr>
          <w:rFonts w:ascii="Times New Roman" w:hAnsi="Times New Roman"/>
          <w:b/>
          <w:bCs/>
          <w:sz w:val="23"/>
          <w:szCs w:val="23"/>
        </w:rPr>
        <w:t>RELATORA:</w:t>
      </w:r>
      <w:r w:rsidRPr="00DB0807">
        <w:rPr>
          <w:rFonts w:ascii="Times New Roman" w:hAnsi="Times New Roman"/>
          <w:b/>
          <w:sz w:val="23"/>
          <w:szCs w:val="23"/>
        </w:rPr>
        <w:t xml:space="preserve"> </w:t>
      </w:r>
      <w:r w:rsidRPr="00DB0807">
        <w:rPr>
          <w:rFonts w:ascii="Times New Roman" w:hAnsi="Times New Roman"/>
          <w:sz w:val="23"/>
          <w:szCs w:val="23"/>
        </w:rPr>
        <w:t>MARILDA SAVI.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DB0807">
        <w:rPr>
          <w:rFonts w:ascii="Times New Roman" w:hAnsi="Times New Roman"/>
          <w:b/>
          <w:bCs/>
          <w:sz w:val="23"/>
          <w:szCs w:val="23"/>
        </w:rPr>
        <w:t>Parecer de CONSTITUCIONALIDADE: FAVORÁVEL.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DB0807">
        <w:rPr>
          <w:rFonts w:ascii="Times New Roman" w:hAnsi="Times New Roman"/>
          <w:b/>
          <w:bCs/>
          <w:sz w:val="23"/>
          <w:szCs w:val="23"/>
        </w:rPr>
        <w:t>Parecer de LEGALIDADE: FAVORÁVEL.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DB0807">
        <w:rPr>
          <w:rFonts w:ascii="Times New Roman" w:hAnsi="Times New Roman"/>
          <w:b/>
          <w:bCs/>
          <w:sz w:val="23"/>
          <w:szCs w:val="23"/>
        </w:rPr>
        <w:t>Parecer de REGIMENTALIDADE: FAVORÁVEL.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DB0807">
        <w:rPr>
          <w:rFonts w:ascii="Times New Roman" w:hAnsi="Times New Roman"/>
          <w:b/>
          <w:bCs/>
          <w:sz w:val="23"/>
          <w:szCs w:val="23"/>
        </w:rPr>
        <w:t>Parecer de MÉRITO: FAVORÁVEL.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DB0807">
        <w:rPr>
          <w:rFonts w:ascii="Times New Roman" w:hAnsi="Times New Roman"/>
          <w:b/>
          <w:sz w:val="23"/>
          <w:szCs w:val="23"/>
        </w:rPr>
        <w:t>RELATÓRIO</w:t>
      </w:r>
      <w:r w:rsidRPr="00DB0807">
        <w:rPr>
          <w:rFonts w:ascii="Times New Roman" w:hAnsi="Times New Roman"/>
          <w:sz w:val="23"/>
          <w:szCs w:val="23"/>
        </w:rPr>
        <w:t>: No dia 2</w:t>
      </w:r>
      <w:r w:rsidR="00DB0807" w:rsidRPr="00DB0807">
        <w:rPr>
          <w:rFonts w:ascii="Times New Roman" w:hAnsi="Times New Roman"/>
          <w:sz w:val="23"/>
          <w:szCs w:val="23"/>
        </w:rPr>
        <w:t>8</w:t>
      </w:r>
      <w:r w:rsidRPr="00DB0807">
        <w:rPr>
          <w:rFonts w:ascii="Times New Roman" w:hAnsi="Times New Roman"/>
          <w:sz w:val="23"/>
          <w:szCs w:val="23"/>
        </w:rPr>
        <w:t xml:space="preserve"> (vinte e </w:t>
      </w:r>
      <w:r w:rsidR="00DB0807" w:rsidRPr="00DB0807">
        <w:rPr>
          <w:rFonts w:ascii="Times New Roman" w:hAnsi="Times New Roman"/>
          <w:sz w:val="23"/>
          <w:szCs w:val="23"/>
        </w:rPr>
        <w:t>oito</w:t>
      </w:r>
      <w:r w:rsidRPr="00DB0807">
        <w:rPr>
          <w:rFonts w:ascii="Times New Roman" w:hAnsi="Times New Roman"/>
          <w:sz w:val="23"/>
          <w:szCs w:val="23"/>
        </w:rPr>
        <w:t xml:space="preserve">) de Outubro de 2015 (dois mil e quinze), reuniram-se os membros da Comissão de Ecologia e Meio Ambiente, com objetivo de exarar parecer do </w:t>
      </w:r>
      <w:r w:rsidRPr="00DB0807">
        <w:rPr>
          <w:rFonts w:ascii="Times New Roman" w:hAnsi="Times New Roman"/>
          <w:b/>
          <w:sz w:val="23"/>
          <w:szCs w:val="23"/>
        </w:rPr>
        <w:t>Projeto de Lei n° 110/2015</w:t>
      </w:r>
      <w:r w:rsidRPr="00DB0807">
        <w:rPr>
          <w:rFonts w:ascii="Times New Roman" w:hAnsi="Times New Roman"/>
          <w:sz w:val="23"/>
          <w:szCs w:val="23"/>
        </w:rPr>
        <w:t xml:space="preserve">, cuja ementa: </w:t>
      </w:r>
      <w:r w:rsidRPr="00DB0807">
        <w:rPr>
          <w:rFonts w:ascii="Times New Roman" w:hAnsi="Times New Roman"/>
          <w:b/>
          <w:bCs/>
          <w:sz w:val="23"/>
          <w:szCs w:val="23"/>
        </w:rPr>
        <w:t>AUTORIZA O PODER EXECUTIVO MUNICIPAL A DISPOR SOBRE AS DIRETRIZES PARA A ELABORAÇÃO DA LEI ORÇAMENTÁRIA DE 2016, E DÁ OUTRAS PROVIDÊNCIAS.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DB0807">
        <w:rPr>
          <w:rFonts w:ascii="Times New Roman" w:hAnsi="Times New Roman"/>
          <w:b/>
          <w:sz w:val="23"/>
          <w:szCs w:val="23"/>
        </w:rPr>
        <w:t>VOTO DO RELATOR</w:t>
      </w:r>
      <w:r w:rsidRPr="00DB0807">
        <w:rPr>
          <w:rFonts w:ascii="Times New Roman" w:hAnsi="Times New Roman"/>
          <w:sz w:val="23"/>
          <w:szCs w:val="23"/>
        </w:rPr>
        <w:t xml:space="preserve">: Encaminhamos para apreciação desta Casa Legislativa, o Projeto de Lei nº 110/2015, cuja Súmula </w:t>
      </w:r>
      <w:r w:rsidRPr="00DB0807">
        <w:rPr>
          <w:rFonts w:ascii="Times New Roman" w:hAnsi="Times New Roman"/>
          <w:bCs/>
          <w:sz w:val="23"/>
          <w:szCs w:val="23"/>
        </w:rPr>
        <w:t>Autoriza o Poder Executivo Municipal Dispor sobre as Diretrizes para a elaboração da Lei Orçamentária de 2016, e dá outras providências.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B0807">
        <w:rPr>
          <w:rFonts w:ascii="Times New Roman" w:hAnsi="Times New Roman"/>
          <w:sz w:val="23"/>
          <w:szCs w:val="23"/>
        </w:rPr>
        <w:t>Como bem o sabem Vossas Excelências, a LDO funciona como</w:t>
      </w:r>
      <w:r w:rsidR="00956E21" w:rsidRPr="00DB0807">
        <w:rPr>
          <w:rFonts w:ascii="Times New Roman" w:hAnsi="Times New Roman"/>
          <w:sz w:val="23"/>
          <w:szCs w:val="23"/>
        </w:rPr>
        <w:t xml:space="preserve"> </w:t>
      </w:r>
      <w:r w:rsidRPr="00DB0807">
        <w:rPr>
          <w:rFonts w:ascii="Times New Roman" w:hAnsi="Times New Roman"/>
          <w:sz w:val="23"/>
          <w:szCs w:val="23"/>
        </w:rPr>
        <w:t>“ponte” entre o plano plurianual e o orçamento anual. Extrai-se do texto</w:t>
      </w:r>
      <w:r w:rsidR="00956E21" w:rsidRPr="00DB0807">
        <w:rPr>
          <w:rFonts w:ascii="Times New Roman" w:hAnsi="Times New Roman"/>
          <w:sz w:val="23"/>
          <w:szCs w:val="23"/>
        </w:rPr>
        <w:t xml:space="preserve"> </w:t>
      </w:r>
      <w:r w:rsidRPr="00DB0807">
        <w:rPr>
          <w:rFonts w:ascii="Times New Roman" w:hAnsi="Times New Roman"/>
          <w:sz w:val="23"/>
          <w:szCs w:val="23"/>
        </w:rPr>
        <w:t>constitucional, § 2º do art. 165, que a LDO compreenderá: prioridades e metas da Administração Pública, incluindo as despesas de capital para o exercício financeiro subsequente; orientações para a elaboração da Lei Orçamentária Anual; e disposições sobre alterações na legislação tributária.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B0807">
        <w:rPr>
          <w:rFonts w:ascii="Times New Roman" w:hAnsi="Times New Roman"/>
          <w:sz w:val="23"/>
          <w:szCs w:val="23"/>
        </w:rPr>
        <w:t>A necessidade dessa articulação entre os diferentes instrumentos de</w:t>
      </w:r>
      <w:r w:rsidR="00956E21" w:rsidRPr="00DB0807">
        <w:rPr>
          <w:rFonts w:ascii="Times New Roman" w:hAnsi="Times New Roman"/>
          <w:sz w:val="23"/>
          <w:szCs w:val="23"/>
        </w:rPr>
        <w:t xml:space="preserve"> </w:t>
      </w:r>
      <w:r w:rsidRPr="00DB0807">
        <w:rPr>
          <w:rFonts w:ascii="Times New Roman" w:hAnsi="Times New Roman"/>
          <w:sz w:val="23"/>
          <w:szCs w:val="23"/>
        </w:rPr>
        <w:t>planejamento governamental é de estatura constitucional. De acordo com o artigo167, § 1º da CF, nenhum investimento cuja execução ultrapasse um exercício</w:t>
      </w:r>
      <w:r w:rsidR="00956E21" w:rsidRPr="00DB0807">
        <w:rPr>
          <w:rFonts w:ascii="Times New Roman" w:hAnsi="Times New Roman"/>
          <w:sz w:val="23"/>
          <w:szCs w:val="23"/>
        </w:rPr>
        <w:t xml:space="preserve"> </w:t>
      </w:r>
      <w:r w:rsidRPr="00DB0807">
        <w:rPr>
          <w:rFonts w:ascii="Times New Roman" w:hAnsi="Times New Roman"/>
          <w:sz w:val="23"/>
          <w:szCs w:val="23"/>
        </w:rPr>
        <w:t>financeiro poderá ser iniciado sem prévia inclusão no PPA, ou sem lei que autorize a</w:t>
      </w:r>
      <w:r w:rsidR="00956E21" w:rsidRPr="00DB0807">
        <w:rPr>
          <w:rFonts w:ascii="Times New Roman" w:hAnsi="Times New Roman"/>
          <w:sz w:val="23"/>
          <w:szCs w:val="23"/>
        </w:rPr>
        <w:t xml:space="preserve"> </w:t>
      </w:r>
      <w:r w:rsidRPr="00DB0807">
        <w:rPr>
          <w:rFonts w:ascii="Times New Roman" w:hAnsi="Times New Roman"/>
          <w:sz w:val="23"/>
          <w:szCs w:val="23"/>
        </w:rPr>
        <w:t>inclusão, sob pena de crime de responsabilidade. O assunto foi reforçado pela LRF,- artigos 16 e 17 - que exige comprovação da compatibilidade das ações de governo</w:t>
      </w:r>
      <w:r w:rsidR="00956E21" w:rsidRPr="00DB0807">
        <w:rPr>
          <w:rFonts w:ascii="Times New Roman" w:hAnsi="Times New Roman"/>
          <w:sz w:val="23"/>
          <w:szCs w:val="23"/>
        </w:rPr>
        <w:t xml:space="preserve"> </w:t>
      </w:r>
      <w:r w:rsidRPr="00DB0807">
        <w:rPr>
          <w:rFonts w:ascii="Times New Roman" w:hAnsi="Times New Roman"/>
          <w:sz w:val="23"/>
          <w:szCs w:val="23"/>
        </w:rPr>
        <w:t>com o PPA, LDO e LOA.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DB0807">
        <w:rPr>
          <w:rFonts w:ascii="Times New Roman" w:hAnsi="Times New Roman"/>
          <w:sz w:val="23"/>
          <w:szCs w:val="23"/>
        </w:rPr>
        <w:t>Giacomoni (2005, p. 206), sobre a importância da LDO no sistema</w:t>
      </w:r>
      <w:r w:rsidR="00956E21" w:rsidRPr="00DB0807">
        <w:rPr>
          <w:rFonts w:ascii="Times New Roman" w:hAnsi="Times New Roman"/>
          <w:sz w:val="23"/>
          <w:szCs w:val="23"/>
        </w:rPr>
        <w:t xml:space="preserve"> </w:t>
      </w:r>
      <w:r w:rsidRPr="00DB0807">
        <w:rPr>
          <w:rFonts w:ascii="Times New Roman" w:hAnsi="Times New Roman"/>
          <w:sz w:val="23"/>
          <w:szCs w:val="23"/>
        </w:rPr>
        <w:t xml:space="preserve">orçamentário brasileiro cita que: </w:t>
      </w:r>
      <w:r w:rsidRPr="00DB0807">
        <w:rPr>
          <w:rFonts w:ascii="Times New Roman" w:hAnsi="Times New Roman"/>
          <w:i/>
          <w:sz w:val="23"/>
          <w:szCs w:val="23"/>
        </w:rPr>
        <w:t xml:space="preserve">[...] a LDO representa uma colaboração positiva no esforço de </w:t>
      </w:r>
      <w:r w:rsidRPr="00DB0807">
        <w:rPr>
          <w:rFonts w:ascii="Times New Roman" w:hAnsi="Times New Roman"/>
          <w:b/>
          <w:bCs/>
          <w:i/>
          <w:sz w:val="23"/>
          <w:szCs w:val="23"/>
        </w:rPr>
        <w:t xml:space="preserve">tornar o processo orçamentário mais transparente </w:t>
      </w:r>
      <w:r w:rsidRPr="00DB0807">
        <w:rPr>
          <w:rFonts w:ascii="Times New Roman" w:hAnsi="Times New Roman"/>
          <w:i/>
          <w:sz w:val="23"/>
          <w:szCs w:val="23"/>
        </w:rPr>
        <w:t xml:space="preserve">e, especialmente, contribui para ampliar a participação do Poder Legislativo no disciplinamento das finanças públicas.Efetivamente, da maneira como são estruturados os orçamentos brasileiros, apenas a tramitação legislativa da proposta orçamentária anual  tende a </w:t>
      </w:r>
      <w:r w:rsidRPr="00DB0807">
        <w:rPr>
          <w:rFonts w:ascii="Times New Roman" w:hAnsi="Times New Roman"/>
          <w:b/>
          <w:bCs/>
          <w:i/>
          <w:sz w:val="23"/>
          <w:szCs w:val="23"/>
        </w:rPr>
        <w:t>não ensejar, ao legislador, o conhecimento da real situação das finanças do Estado</w:t>
      </w:r>
      <w:r w:rsidRPr="00DB0807">
        <w:rPr>
          <w:rFonts w:ascii="Times New Roman" w:hAnsi="Times New Roman"/>
          <w:i/>
          <w:sz w:val="23"/>
          <w:szCs w:val="23"/>
        </w:rPr>
        <w:t xml:space="preserve">, pois essa </w:t>
      </w:r>
      <w:r w:rsidRPr="00DB0807">
        <w:rPr>
          <w:rFonts w:ascii="Times New Roman" w:hAnsi="Times New Roman"/>
          <w:i/>
          <w:sz w:val="23"/>
          <w:szCs w:val="23"/>
        </w:rPr>
        <w:lastRenderedPageBreak/>
        <w:t>visão-síntese é obscurecida pela atenção que é concedida à programação detalhada que caracteriza as autorizações orçamentárias, na forma de uma miríade de créditos e dotações. (grifos nossos)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B0807">
        <w:rPr>
          <w:rFonts w:ascii="Times New Roman" w:hAnsi="Times New Roman"/>
          <w:sz w:val="23"/>
          <w:szCs w:val="23"/>
        </w:rPr>
        <w:t>Uma lei de diretrizes, aprovada previamente, composta de definições</w:t>
      </w:r>
      <w:r w:rsidR="00956E21" w:rsidRPr="00DB0807">
        <w:rPr>
          <w:rFonts w:ascii="Times New Roman" w:hAnsi="Times New Roman"/>
          <w:sz w:val="23"/>
          <w:szCs w:val="23"/>
        </w:rPr>
        <w:t xml:space="preserve"> </w:t>
      </w:r>
      <w:r w:rsidRPr="00DB0807">
        <w:rPr>
          <w:rFonts w:ascii="Times New Roman" w:hAnsi="Times New Roman"/>
          <w:sz w:val="23"/>
          <w:szCs w:val="23"/>
        </w:rPr>
        <w:t>sobre prioridades e metas, investimentos, metas fiscais, mudanças na</w:t>
      </w:r>
      <w:r w:rsidR="00956E21" w:rsidRPr="00DB0807">
        <w:rPr>
          <w:rFonts w:ascii="Times New Roman" w:hAnsi="Times New Roman"/>
          <w:sz w:val="23"/>
          <w:szCs w:val="23"/>
        </w:rPr>
        <w:t xml:space="preserve"> </w:t>
      </w:r>
      <w:r w:rsidRPr="00DB0807">
        <w:rPr>
          <w:rFonts w:ascii="Times New Roman" w:hAnsi="Times New Roman"/>
          <w:sz w:val="23"/>
          <w:szCs w:val="23"/>
        </w:rPr>
        <w:t>legislação sobre tributos e políticas de fomento a cargo de bancos oficiais,</w:t>
      </w:r>
      <w:r w:rsidRPr="00DB0807">
        <w:rPr>
          <w:rFonts w:ascii="Times New Roman" w:hAnsi="Times New Roman"/>
          <w:b/>
          <w:bCs/>
          <w:sz w:val="23"/>
          <w:szCs w:val="23"/>
        </w:rPr>
        <w:t>possibilitará a compreensão partilhada entre Executivo e Legislativo</w:t>
      </w:r>
      <w:r w:rsidR="00956E21" w:rsidRPr="00DB080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DB0807">
        <w:rPr>
          <w:rFonts w:ascii="Times New Roman" w:hAnsi="Times New Roman"/>
          <w:b/>
          <w:bCs/>
          <w:sz w:val="23"/>
          <w:szCs w:val="23"/>
        </w:rPr>
        <w:t>sobre os vários aspectos da economia e da administração do setor</w:t>
      </w:r>
      <w:r w:rsidR="00956E21" w:rsidRPr="00DB080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DB0807">
        <w:rPr>
          <w:rFonts w:ascii="Times New Roman" w:hAnsi="Times New Roman"/>
          <w:b/>
          <w:bCs/>
          <w:sz w:val="23"/>
          <w:szCs w:val="23"/>
        </w:rPr>
        <w:t>público</w:t>
      </w:r>
      <w:r w:rsidRPr="00DB0807">
        <w:rPr>
          <w:rFonts w:ascii="Times New Roman" w:hAnsi="Times New Roman"/>
          <w:sz w:val="23"/>
          <w:szCs w:val="23"/>
        </w:rPr>
        <w:t>, facilitando sobremaneira a elaboração da proposta orçamentária</w:t>
      </w:r>
      <w:r w:rsidR="00956E21" w:rsidRPr="00DB0807">
        <w:rPr>
          <w:rFonts w:ascii="Times New Roman" w:hAnsi="Times New Roman"/>
          <w:sz w:val="23"/>
          <w:szCs w:val="23"/>
        </w:rPr>
        <w:t xml:space="preserve"> </w:t>
      </w:r>
      <w:r w:rsidRPr="00DB0807">
        <w:rPr>
          <w:rFonts w:ascii="Times New Roman" w:hAnsi="Times New Roman"/>
          <w:sz w:val="23"/>
          <w:szCs w:val="23"/>
        </w:rPr>
        <w:t>anual e sua discussão e aprovação no âmbito legislativo.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B0807">
        <w:rPr>
          <w:rFonts w:ascii="Times New Roman" w:hAnsi="Times New Roman"/>
          <w:sz w:val="23"/>
          <w:szCs w:val="23"/>
        </w:rPr>
        <w:t>Afora manter caráter de orientação à elaboração da lei orçamentária</w:t>
      </w:r>
      <w:r w:rsidR="00956E21" w:rsidRPr="00DB0807">
        <w:rPr>
          <w:rFonts w:ascii="Times New Roman" w:hAnsi="Times New Roman"/>
          <w:sz w:val="23"/>
          <w:szCs w:val="23"/>
        </w:rPr>
        <w:t xml:space="preserve"> </w:t>
      </w:r>
      <w:r w:rsidRPr="00DB0807">
        <w:rPr>
          <w:rFonts w:ascii="Times New Roman" w:hAnsi="Times New Roman"/>
          <w:sz w:val="23"/>
          <w:szCs w:val="23"/>
        </w:rPr>
        <w:t xml:space="preserve">anual, a LDO progressivamente vem sendo utilizada como </w:t>
      </w:r>
      <w:r w:rsidRPr="00DB0807">
        <w:rPr>
          <w:rFonts w:ascii="Times New Roman" w:hAnsi="Times New Roman"/>
          <w:b/>
          <w:bCs/>
          <w:sz w:val="23"/>
          <w:szCs w:val="23"/>
        </w:rPr>
        <w:t>veículo de</w:t>
      </w:r>
      <w:r w:rsidR="00956E21" w:rsidRPr="00DB080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DB0807">
        <w:rPr>
          <w:rFonts w:ascii="Times New Roman" w:hAnsi="Times New Roman"/>
          <w:b/>
          <w:bCs/>
          <w:sz w:val="23"/>
          <w:szCs w:val="23"/>
        </w:rPr>
        <w:t xml:space="preserve">instruções e regras </w:t>
      </w:r>
      <w:r w:rsidRPr="00DB0807">
        <w:rPr>
          <w:rFonts w:ascii="Times New Roman" w:hAnsi="Times New Roman"/>
          <w:sz w:val="23"/>
          <w:szCs w:val="23"/>
        </w:rPr>
        <w:t>a serem cumpridas na execução do orçamento. Essa</w:t>
      </w:r>
      <w:r w:rsidR="00956E21" w:rsidRPr="00DB0807">
        <w:rPr>
          <w:rFonts w:ascii="Times New Roman" w:hAnsi="Times New Roman"/>
          <w:sz w:val="23"/>
          <w:szCs w:val="23"/>
        </w:rPr>
        <w:t xml:space="preserve"> </w:t>
      </w:r>
      <w:r w:rsidRPr="00DB0807">
        <w:rPr>
          <w:rFonts w:ascii="Times New Roman" w:hAnsi="Times New Roman"/>
          <w:sz w:val="23"/>
          <w:szCs w:val="23"/>
        </w:rPr>
        <w:t>ampliação das finalidades da LDO tende a suprir a incapacidade, em face</w:t>
      </w:r>
      <w:r w:rsidR="00956E21" w:rsidRPr="00DB0807">
        <w:rPr>
          <w:rFonts w:ascii="Times New Roman" w:hAnsi="Times New Roman"/>
          <w:sz w:val="23"/>
          <w:szCs w:val="23"/>
        </w:rPr>
        <w:t xml:space="preserve"> </w:t>
      </w:r>
      <w:r w:rsidRPr="00DB0807">
        <w:rPr>
          <w:rFonts w:ascii="Times New Roman" w:hAnsi="Times New Roman"/>
          <w:sz w:val="23"/>
          <w:szCs w:val="23"/>
        </w:rPr>
        <w:t>ao princípio da exclusividade, de a lei orçamentária disciplinar temas que</w:t>
      </w:r>
      <w:r w:rsidR="00956E21" w:rsidRPr="00DB0807">
        <w:rPr>
          <w:rFonts w:ascii="Times New Roman" w:hAnsi="Times New Roman"/>
          <w:sz w:val="23"/>
          <w:szCs w:val="23"/>
        </w:rPr>
        <w:t xml:space="preserve"> </w:t>
      </w:r>
      <w:r w:rsidRPr="00DB0807">
        <w:rPr>
          <w:rFonts w:ascii="Times New Roman" w:hAnsi="Times New Roman"/>
          <w:sz w:val="23"/>
          <w:szCs w:val="23"/>
        </w:rPr>
        <w:t>não sejam os definidos pela Constituição Federal.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B0807">
        <w:rPr>
          <w:rFonts w:ascii="Times New Roman" w:hAnsi="Times New Roman"/>
          <w:sz w:val="23"/>
          <w:szCs w:val="23"/>
        </w:rPr>
        <w:t>A LDO, cuja proposição de projeto de lei é de competência privativa do chefe do Poder Executivo é um instrumento de viabilização da execução dos programas governamentais. Uma das suas principais funções é estabelecer, dentre os programas incluídos no PPA, quais – como e com qual intensidade – terão prioridade na execução do orçamento subseqüente, sendo composta com o Projeto de Lei e seus anexos, compreendendo: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B0807">
        <w:rPr>
          <w:rFonts w:ascii="Times New Roman" w:hAnsi="Times New Roman"/>
          <w:b/>
          <w:sz w:val="23"/>
          <w:szCs w:val="23"/>
        </w:rPr>
        <w:t>Anexo I -Metas e Prioridades</w:t>
      </w:r>
      <w:r w:rsidRPr="00DB0807">
        <w:rPr>
          <w:rFonts w:ascii="Times New Roman" w:hAnsi="Times New Roman"/>
          <w:sz w:val="23"/>
          <w:szCs w:val="23"/>
        </w:rPr>
        <w:t>, extraído</w:t>
      </w:r>
      <w:r w:rsidR="00956E21" w:rsidRPr="00DB0807">
        <w:rPr>
          <w:rFonts w:ascii="Times New Roman" w:hAnsi="Times New Roman"/>
          <w:sz w:val="23"/>
          <w:szCs w:val="23"/>
        </w:rPr>
        <w:t xml:space="preserve"> </w:t>
      </w:r>
      <w:r w:rsidRPr="00DB0807">
        <w:rPr>
          <w:rFonts w:ascii="Times New Roman" w:hAnsi="Times New Roman"/>
          <w:sz w:val="23"/>
          <w:szCs w:val="23"/>
        </w:rPr>
        <w:t>da Lei nº 2.241 de 10 de setembro de 2013, que dispõe sobre o Plano Plurianual 2014-2017;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B0807">
        <w:rPr>
          <w:rFonts w:ascii="Times New Roman" w:hAnsi="Times New Roman"/>
          <w:b/>
          <w:sz w:val="23"/>
          <w:szCs w:val="23"/>
        </w:rPr>
        <w:t>Anexo II - Metas Fiscais</w:t>
      </w:r>
      <w:r w:rsidRPr="00DB0807">
        <w:rPr>
          <w:rFonts w:ascii="Times New Roman" w:hAnsi="Times New Roman"/>
          <w:sz w:val="23"/>
          <w:szCs w:val="23"/>
        </w:rPr>
        <w:t>, composto pelas metas de resultados primário e nominal fixadas para os 3 exercícios anteriores e as projetadas para o período de 2016 a 2018;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B0807">
        <w:rPr>
          <w:rFonts w:ascii="Times New Roman" w:hAnsi="Times New Roman"/>
          <w:b/>
          <w:sz w:val="23"/>
          <w:szCs w:val="23"/>
        </w:rPr>
        <w:t>Anexo III - Riscos Fiscais</w:t>
      </w:r>
      <w:r w:rsidRPr="00DB0807">
        <w:rPr>
          <w:rFonts w:ascii="Times New Roman" w:hAnsi="Times New Roman"/>
          <w:sz w:val="23"/>
          <w:szCs w:val="23"/>
        </w:rPr>
        <w:t>, composto pelos Passivos Contingentes e Riscos Fiscais imprevistos, que poderão afetar as projeções e metas estabelecidas para o triênio 2016-2018.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B0807">
        <w:rPr>
          <w:rFonts w:ascii="Times New Roman" w:hAnsi="Times New Roman"/>
          <w:sz w:val="23"/>
          <w:szCs w:val="23"/>
        </w:rPr>
        <w:t>Em complemento ao Projeto de lei em epígrafe, para subsidiar a sua apreciação, encaminhamos a esta Casa de Leis o Relatório de Projetos em Andamento, onde demonstra os projetos em andamento no município de 01.01.2015 a 30.08.2015.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B0807">
        <w:rPr>
          <w:rFonts w:ascii="Times New Roman" w:hAnsi="Times New Roman"/>
          <w:sz w:val="23"/>
          <w:szCs w:val="23"/>
        </w:rPr>
        <w:t xml:space="preserve">Portanto, este projeto é um reflexo das necessidades de nossa população, já levantadas em audiências publicas durante a elaboração do PPA, levando-se em consideração também os pleitos apresentados por Vossas Excelências, visto que, esta Casa de leis representa legitimamente o povo de nossa cidade. </w:t>
      </w:r>
    </w:p>
    <w:p w:rsidR="00631583" w:rsidRPr="00DB0807" w:rsidRDefault="00631583" w:rsidP="00631583">
      <w:pPr>
        <w:pStyle w:val="Recuodecorpodetexto"/>
        <w:ind w:left="0" w:firstLine="0"/>
        <w:rPr>
          <w:b w:val="0"/>
          <w:i w:val="0"/>
          <w:sz w:val="23"/>
          <w:szCs w:val="23"/>
        </w:rPr>
      </w:pP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  <w:r w:rsidRPr="00DB0807">
        <w:rPr>
          <w:rFonts w:ascii="Times New Roman" w:hAnsi="Times New Roman"/>
          <w:b/>
          <w:color w:val="000000" w:themeColor="text1"/>
          <w:sz w:val="23"/>
          <w:szCs w:val="23"/>
        </w:rPr>
        <w:t>PARECER DA COMISSÃO</w:t>
      </w:r>
      <w:r w:rsidRPr="00DB0807">
        <w:rPr>
          <w:rFonts w:ascii="Times New Roman" w:hAnsi="Times New Roman"/>
          <w:color w:val="000000" w:themeColor="text1"/>
          <w:sz w:val="23"/>
          <w:szCs w:val="23"/>
        </w:rPr>
        <w:t xml:space="preserve">: </w:t>
      </w:r>
      <w:r w:rsidRPr="00DB0807">
        <w:rPr>
          <w:rFonts w:ascii="Times New Roman" w:hAnsi="Times New Roman"/>
          <w:color w:val="000000" w:themeColor="text1"/>
          <w:sz w:val="23"/>
          <w:szCs w:val="23"/>
          <w:lang w:eastAsia="pt-BR"/>
        </w:rPr>
        <w:t>Reunidos</w:t>
      </w:r>
      <w:r w:rsidRPr="00DB0807">
        <w:rPr>
          <w:rFonts w:ascii="Times New Roman" w:hAnsi="Times New Roman"/>
          <w:sz w:val="23"/>
          <w:szCs w:val="23"/>
          <w:lang w:eastAsia="pt-BR"/>
        </w:rPr>
        <w:t xml:space="preserve"> os Membros da Comissão de Ecologia e Meio Ambiente para Exame de Mérito ao Projeto de Lei n° 110/2015, em 2</w:t>
      </w:r>
      <w:r w:rsidR="00DB0807" w:rsidRPr="00DB0807">
        <w:rPr>
          <w:rFonts w:ascii="Times New Roman" w:hAnsi="Times New Roman"/>
          <w:sz w:val="23"/>
          <w:szCs w:val="23"/>
          <w:lang w:eastAsia="pt-BR"/>
        </w:rPr>
        <w:t>8</w:t>
      </w:r>
      <w:r w:rsidRPr="00DB0807">
        <w:rPr>
          <w:rFonts w:ascii="Times New Roman" w:hAnsi="Times New Roman"/>
          <w:sz w:val="23"/>
          <w:szCs w:val="23"/>
          <w:lang w:eastAsia="pt-BR"/>
        </w:rPr>
        <w:t xml:space="preserve"> de Outubro de 2015, após parecer favorável da Relatora, conclui-se por acompanhar o voto Bruno Stellato, Presidente, e Irmão Fontenele, Membro.</w:t>
      </w:r>
    </w:p>
    <w:p w:rsidR="00631583" w:rsidRPr="00DB0807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631583" w:rsidRPr="00DB0807" w:rsidRDefault="00631583" w:rsidP="00631583">
      <w:pPr>
        <w:rPr>
          <w:rFonts w:ascii="Times New Roman" w:hAnsi="Times New Roman"/>
          <w:sz w:val="23"/>
          <w:szCs w:val="23"/>
          <w:lang w:eastAsia="pt-BR"/>
        </w:rPr>
      </w:pPr>
    </w:p>
    <w:p w:rsidR="00631583" w:rsidRPr="00DB0807" w:rsidRDefault="00631583" w:rsidP="00DB0807">
      <w:pPr>
        <w:pStyle w:val="Ttulo1"/>
        <w:rPr>
          <w:i w:val="0"/>
          <w:sz w:val="23"/>
          <w:szCs w:val="23"/>
          <w:lang w:val="pt-BR"/>
        </w:rPr>
      </w:pPr>
      <w:r w:rsidRPr="00DB0807">
        <w:rPr>
          <w:i w:val="0"/>
          <w:sz w:val="23"/>
          <w:szCs w:val="23"/>
          <w:lang w:val="pt-BR"/>
        </w:rPr>
        <w:t>Bruno Stellato                         Marilda Savi                         Irmão Fontenele</w:t>
      </w:r>
    </w:p>
    <w:p w:rsidR="00631583" w:rsidRPr="00DB0807" w:rsidRDefault="00631583" w:rsidP="00DB0807">
      <w:pPr>
        <w:pStyle w:val="Ttulo1"/>
        <w:rPr>
          <w:sz w:val="23"/>
          <w:szCs w:val="23"/>
        </w:rPr>
      </w:pPr>
      <w:r w:rsidRPr="00DB0807">
        <w:rPr>
          <w:i w:val="0"/>
          <w:sz w:val="23"/>
          <w:szCs w:val="23"/>
          <w:lang w:val="pt-BR"/>
        </w:rPr>
        <w:t>Presidente                                  Relatora                                   Membro</w:t>
      </w:r>
    </w:p>
    <w:sectPr w:rsidR="00631583" w:rsidRPr="00DB0807" w:rsidSect="00DB0807">
      <w:pgSz w:w="11906" w:h="16838"/>
      <w:pgMar w:top="2410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1583"/>
    <w:rsid w:val="00064C38"/>
    <w:rsid w:val="00631583"/>
    <w:rsid w:val="00794D16"/>
    <w:rsid w:val="00831966"/>
    <w:rsid w:val="00956E21"/>
    <w:rsid w:val="00A45A9B"/>
    <w:rsid w:val="00AE36C7"/>
    <w:rsid w:val="00D80683"/>
    <w:rsid w:val="00DB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58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315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1583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631583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31583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cp:lastPrinted>2015-10-28T16:05:00Z</cp:lastPrinted>
  <dcterms:created xsi:type="dcterms:W3CDTF">2015-10-28T17:19:00Z</dcterms:created>
  <dcterms:modified xsi:type="dcterms:W3CDTF">2015-10-28T17:39:00Z</dcterms:modified>
</cp:coreProperties>
</file>