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5" w:rsidRDefault="008C66E5" w:rsidP="00A4720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A4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217/2016</w:t>
      </w:r>
    </w:p>
    <w:p w:rsidR="008C66E5" w:rsidRDefault="008C66E5" w:rsidP="00A47205">
      <w:pPr>
        <w:tabs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6E5" w:rsidRDefault="008C66E5" w:rsidP="00A47205">
      <w:pPr>
        <w:tabs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6E5" w:rsidRDefault="008C66E5" w:rsidP="00A47205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66E5" w:rsidRDefault="008C66E5" w:rsidP="00A47205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6E5" w:rsidRDefault="008C66E5" w:rsidP="00A4720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CLAUDIO OLIVEIRA - PR </w:t>
      </w:r>
      <w:r w:rsidR="00A4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vereadores que este </w:t>
      </w:r>
      <w:proofErr w:type="gramStart"/>
      <w:r w:rsidR="00A4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subscrevem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 w:rsidR="00A47205" w:rsidRPr="00A47205">
        <w:rPr>
          <w:rFonts w:ascii="Times New Roman" w:hAnsi="Times New Roman" w:cs="Times New Roman"/>
          <w:bCs/>
          <w:color w:val="000000"/>
          <w:sz w:val="24"/>
          <w:szCs w:val="24"/>
        </w:rPr>
        <w:t>requerem</w:t>
      </w:r>
      <w:r w:rsidR="00A4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</w:t>
      </w:r>
      <w:r w:rsidR="00FE4539">
        <w:rPr>
          <w:rFonts w:ascii="Times New Roman" w:hAnsi="Times New Roman" w:cs="Times New Roman"/>
          <w:color w:val="000000"/>
          <w:sz w:val="24"/>
          <w:szCs w:val="24"/>
        </w:rPr>
        <w:t xml:space="preserve"> ao Exmo. Senhor Pedro Taques, Governador do Estado de Mato Grosso,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 Exmo. Senhor</w:t>
      </w:r>
      <w:r w:rsidR="00E07BE7">
        <w:rPr>
          <w:rFonts w:ascii="Times New Roman" w:hAnsi="Times New Roman" w:cs="Times New Roman"/>
          <w:color w:val="000000"/>
          <w:sz w:val="24"/>
          <w:szCs w:val="24"/>
        </w:rPr>
        <w:t xml:space="preserve"> João Batista Pereira da Silva, Secretário de Estado de Saúde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BE7">
        <w:rPr>
          <w:rFonts w:ascii="Times New Roman" w:hAnsi="Times New Roman" w:cs="Times New Roman"/>
          <w:color w:val="000000"/>
          <w:sz w:val="24"/>
          <w:szCs w:val="24"/>
        </w:rPr>
        <w:t>do Estado</w:t>
      </w:r>
      <w:r w:rsidR="00A47205">
        <w:rPr>
          <w:rFonts w:ascii="Times New Roman" w:hAnsi="Times New Roman" w:cs="Times New Roman"/>
          <w:color w:val="000000"/>
          <w:sz w:val="24"/>
          <w:szCs w:val="24"/>
        </w:rPr>
        <w:t xml:space="preserve"> de Mato Grosso, com cópia a</w:t>
      </w:r>
      <w:r w:rsidR="00E07BE7">
        <w:rPr>
          <w:rFonts w:ascii="Times New Roman" w:hAnsi="Times New Roman" w:cs="Times New Roman"/>
          <w:color w:val="000000"/>
          <w:sz w:val="24"/>
          <w:szCs w:val="24"/>
        </w:rPr>
        <w:t xml:space="preserve">o Exmo. Senhor </w:t>
      </w:r>
      <w:r>
        <w:rPr>
          <w:rFonts w:ascii="Times New Roman" w:hAnsi="Times New Roman" w:cs="Times New Roman"/>
          <w:color w:val="000000"/>
          <w:sz w:val="24"/>
          <w:szCs w:val="24"/>
        </w:rPr>
        <w:t>Dil</w:t>
      </w:r>
      <w:r w:rsidR="00A47205">
        <w:rPr>
          <w:rFonts w:ascii="Times New Roman" w:hAnsi="Times New Roman" w:cs="Times New Roman"/>
          <w:color w:val="000000"/>
          <w:sz w:val="24"/>
          <w:szCs w:val="24"/>
        </w:rPr>
        <w:t>ceu Rossato, Prefeito Municipal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CEB">
        <w:rPr>
          <w:rFonts w:ascii="Times New Roman" w:hAnsi="Times New Roman" w:cs="Times New Roman"/>
        </w:rPr>
        <w:t xml:space="preserve">e </w:t>
      </w:r>
      <w:r w:rsidR="00A47205">
        <w:rPr>
          <w:rFonts w:ascii="Times New Roman" w:hAnsi="Times New Roman" w:cs="Times New Roman"/>
        </w:rPr>
        <w:t>à</w:t>
      </w:r>
      <w:r w:rsidR="000B104B" w:rsidRPr="001D01EE">
        <w:rPr>
          <w:rFonts w:ascii="Times New Roman" w:hAnsi="Times New Roman" w:cs="Times New Roman"/>
        </w:rPr>
        <w:t xml:space="preserve"> Senhor</w:t>
      </w:r>
      <w:r w:rsidR="00E07BE7">
        <w:rPr>
          <w:rFonts w:ascii="Times New Roman" w:hAnsi="Times New Roman" w:cs="Times New Roman"/>
        </w:rPr>
        <w:t>a</w:t>
      </w:r>
      <w:r w:rsidR="000B104B" w:rsidRPr="001D01EE">
        <w:rPr>
          <w:rFonts w:ascii="Times New Roman" w:hAnsi="Times New Roman" w:cs="Times New Roman"/>
        </w:rPr>
        <w:t xml:space="preserve"> </w:t>
      </w:r>
      <w:r w:rsidR="00E07BE7">
        <w:rPr>
          <w:rFonts w:ascii="Times New Roman" w:hAnsi="Times New Roman" w:cs="Times New Roman"/>
        </w:rPr>
        <w:t>Ivana Mara</w:t>
      </w:r>
      <w:r w:rsidR="00A47205">
        <w:rPr>
          <w:rFonts w:ascii="Times New Roman" w:hAnsi="Times New Roman" w:cs="Times New Roman"/>
        </w:rPr>
        <w:t xml:space="preserve"> Mattos</w:t>
      </w:r>
      <w:r w:rsidR="00E07BE7">
        <w:rPr>
          <w:rFonts w:ascii="Times New Roman" w:hAnsi="Times New Roman" w:cs="Times New Roman"/>
        </w:rPr>
        <w:t xml:space="preserve"> Mello</w:t>
      </w:r>
      <w:r w:rsidR="000B104B" w:rsidRPr="001D01EE">
        <w:rPr>
          <w:rFonts w:ascii="Times New Roman" w:hAnsi="Times New Roman" w:cs="Times New Roman"/>
        </w:rPr>
        <w:t>, Sec</w:t>
      </w:r>
      <w:r w:rsidR="00780CEB">
        <w:rPr>
          <w:rFonts w:ascii="Times New Roman" w:hAnsi="Times New Roman" w:cs="Times New Roman"/>
        </w:rPr>
        <w:t>retária</w:t>
      </w:r>
      <w:r w:rsidR="000B104B" w:rsidRPr="001D01EE">
        <w:rPr>
          <w:rFonts w:ascii="Times New Roman" w:hAnsi="Times New Roman" w:cs="Times New Roman"/>
        </w:rPr>
        <w:t xml:space="preserve"> Municipal de </w:t>
      </w:r>
      <w:r w:rsidR="00E07BE7">
        <w:rPr>
          <w:rFonts w:ascii="Times New Roman" w:hAnsi="Times New Roman" w:cs="Times New Roman"/>
        </w:rPr>
        <w:t>Saúde e Saneamento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E07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sobre a regularização dos repasses ao Hospital Regional de Sorriso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C66E5" w:rsidRDefault="008C66E5" w:rsidP="00A47205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</w:rPr>
      </w:pPr>
    </w:p>
    <w:p w:rsidR="008C66E5" w:rsidRDefault="008C66E5" w:rsidP="00A4720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C66E5" w:rsidRDefault="008C66E5" w:rsidP="00A4720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8C66E5" w:rsidRDefault="008C66E5" w:rsidP="00A4720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os eventos ocorridos, que tem chamado a atenção para a responsabilidade dos gestores públicos, quanto à segurança, qualidade e frequência do fornecimento dos serviços públicos.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órgãos públicos, que em primeira análise, são os detentores do dever de prestar de forma adequada os serviços públicos.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dever desta Câmara fiscalizar a prestação dos serviços públicos, quanto sua qualidade, segurança e periodicidade, aos seus munícipes.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responsabilidade objetiva do Estado, enquanto detentor do </w:t>
      </w:r>
      <w:proofErr w:type="gramStart"/>
      <w:r>
        <w:rPr>
          <w:rFonts w:ascii="Times New Roman" w:hAnsi="Times New Roman" w:cs="Times New Roman"/>
          <w:sz w:val="24"/>
          <w:szCs w:val="24"/>
        </w:rPr>
        <w:t>dever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zelar pela prestação adequada dos serviços públicos à comunidade.</w:t>
      </w:r>
    </w:p>
    <w:p w:rsidR="00E07BE7" w:rsidRDefault="00E07BE7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07BE7" w:rsidRDefault="00E07BE7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Hospital Regional de Sorriso está paralisando parte dos serviços prestados a população por atraso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(três) meses nos repasses dos recursos financeiros para manutenção daquela unidade.</w:t>
      </w:r>
    </w:p>
    <w:p w:rsidR="00E07BE7" w:rsidRDefault="00E07BE7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07BE7" w:rsidRDefault="00E07BE7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Hospital Regional de Sorriso está atendendo apenas urgência e emergências, a população que era atendida vem enfrentando risco a saúde, o que é um dever constitucional de todos, mas principalmente do Estado.</w:t>
      </w:r>
    </w:p>
    <w:p w:rsidR="00E07BE7" w:rsidRDefault="00E07BE7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07BE7" w:rsidRDefault="00E07BE7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repasses destes valores é uma obrigação do Governo de Estado de Mato Grosso.</w:t>
      </w:r>
    </w:p>
    <w:p w:rsidR="00314D1E" w:rsidRDefault="00314D1E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14D1E" w:rsidRDefault="00314D1E" w:rsidP="00A4720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4D1E">
        <w:rPr>
          <w:rFonts w:ascii="Times New Roman" w:hAnsi="Times New Roman" w:cs="Times New Roman"/>
          <w:sz w:val="24"/>
          <w:szCs w:val="24"/>
        </w:rPr>
        <w:t>esta forma, cumpre elucidar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D1E">
        <w:rPr>
          <w:rFonts w:ascii="Times New Roman" w:hAnsi="Times New Roman" w:cs="Times New Roman"/>
          <w:sz w:val="24"/>
          <w:szCs w:val="24"/>
        </w:rPr>
        <w:t>a Constituição</w:t>
      </w:r>
      <w:r>
        <w:rPr>
          <w:rFonts w:ascii="Times New Roman" w:hAnsi="Times New Roman" w:cs="Times New Roman"/>
          <w:sz w:val="24"/>
          <w:szCs w:val="24"/>
        </w:rPr>
        <w:t xml:space="preserve"> Brasileira</w:t>
      </w:r>
      <w:r w:rsidRPr="00314D1E">
        <w:rPr>
          <w:rFonts w:ascii="Times New Roman" w:hAnsi="Times New Roman" w:cs="Times New Roman"/>
          <w:sz w:val="24"/>
          <w:szCs w:val="24"/>
        </w:rPr>
        <w:t xml:space="preserve"> trata expressamente dos objetivos do Estado brasileiro, definindo a dignidade da pessoa humana como fundamento da República, valorizando o direito à vida como direito fundamental do cidadão. Tutelando, no art. 3º; os objetivos fundamentais da República Federativa do Brasil, “de promover o bem de todos, construir uma sociedade livre, justa e solidária, garantir o desenvolvimento, </w:t>
      </w:r>
      <w:r w:rsidRPr="00314D1E">
        <w:rPr>
          <w:rFonts w:ascii="Times New Roman" w:hAnsi="Times New Roman" w:cs="Times New Roman"/>
          <w:sz w:val="24"/>
          <w:szCs w:val="24"/>
        </w:rPr>
        <w:lastRenderedPageBreak/>
        <w:t>permeando os fundamentos do Estado Democrático de Direito, que são: a soberania popular, a cidadania, a dignidade da pessoa humana”, conforme o art. 1º da CR/88.</w:t>
      </w:r>
    </w:p>
    <w:p w:rsidR="00A47205" w:rsidRPr="00314D1E" w:rsidRDefault="00A47205" w:rsidP="00A4720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4D1E" w:rsidRDefault="00314D1E" w:rsidP="00A47205">
      <w:pPr>
        <w:widowControl/>
        <w:autoSpaceDE/>
        <w:autoSpaceDN/>
        <w:adjustRightInd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4D1E">
        <w:rPr>
          <w:rFonts w:ascii="Times New Roman" w:hAnsi="Times New Roman" w:cs="Times New Roman"/>
          <w:sz w:val="24"/>
          <w:szCs w:val="24"/>
        </w:rPr>
        <w:t xml:space="preserve">Portanto, a saúde é uma condição essencial à dignidade da pessoa humana, cabendo assim, ao Estado, por meio de políticas públicas e de seus órgãos, assegurá-la como direito de todos os cidadãos. O direito à saúde se consubstancia em um direito público </w:t>
      </w:r>
      <w:proofErr w:type="gramStart"/>
      <w:r w:rsidRPr="00314D1E">
        <w:rPr>
          <w:rFonts w:ascii="Times New Roman" w:hAnsi="Times New Roman" w:cs="Times New Roman"/>
          <w:sz w:val="24"/>
          <w:szCs w:val="24"/>
        </w:rPr>
        <w:t>subjetivo, exigindo do Estado atuação positiva para sua eficácia</w:t>
      </w:r>
      <w:proofErr w:type="gramEnd"/>
      <w:r w:rsidRPr="00314D1E">
        <w:rPr>
          <w:rFonts w:ascii="Times New Roman" w:hAnsi="Times New Roman" w:cs="Times New Roman"/>
          <w:sz w:val="24"/>
          <w:szCs w:val="24"/>
        </w:rPr>
        <w:t xml:space="preserve"> e garantia.</w:t>
      </w:r>
    </w:p>
    <w:p w:rsidR="00A47205" w:rsidRPr="00314D1E" w:rsidRDefault="00A47205" w:rsidP="00A47205">
      <w:pPr>
        <w:widowControl/>
        <w:autoSpaceDE/>
        <w:autoSpaceDN/>
        <w:adjustRightInd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4D1E" w:rsidRPr="00314D1E" w:rsidRDefault="00314D1E" w:rsidP="00A47205">
      <w:pPr>
        <w:widowControl/>
        <w:autoSpaceDE/>
        <w:autoSpaceDN/>
        <w:adjustRightInd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4D1E">
        <w:rPr>
          <w:rFonts w:ascii="Times New Roman" w:hAnsi="Times New Roman" w:cs="Times New Roman"/>
          <w:sz w:val="24"/>
          <w:szCs w:val="24"/>
        </w:rPr>
        <w:t>Por essa razão, as ações e os serviços de saúde no Brasil, são considerados de relevância pública e devem estar sujeitos aos mecanismos de controle social de uma democracia, para evitar eventuais abusos a esse direito (art.197, da CR/88). Ao reconhecer as ações e os serviços de saúde como de relevância pública, o Constituinte também deixou claro que o bem jurídico saúde prepondera no sistema jurídico brasileiro.</w:t>
      </w:r>
    </w:p>
    <w:p w:rsidR="00314D1E" w:rsidRDefault="00314D1E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legislação pátria quanto ao dever de fornecer de forma adequada serviços públicos e o dever de reparar pelos atos e </w:t>
      </w:r>
      <w:proofErr w:type="gramStart"/>
      <w:r>
        <w:rPr>
          <w:rFonts w:ascii="Times New Roman" w:hAnsi="Times New Roman" w:cs="Times New Roman"/>
          <w:sz w:val="24"/>
          <w:szCs w:val="24"/>
        </w:rPr>
        <w:t>omissões praticados, contidas na Constituição Federal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Leis infraconstitucionais, dentre a quais cabe destacar, independentemente de outras: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Constituição Federal: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Art. 1º A República Federativa do Brasil, formada pela união indissolúvel dos Estados e Municípios e do Distrito Federal, constitui-se em Estado Democrático de Direito e tem como fundamentos: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(...)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III - a dignidade da pessoa humana;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(...)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Art. 5°.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8C66E5" w:rsidRPr="0004467B" w:rsidRDefault="008C66E5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(...)</w:t>
      </w:r>
    </w:p>
    <w:p w:rsidR="008C66E5" w:rsidRPr="0004467B" w:rsidRDefault="008C66E5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V - é assegurado o direito de resposta, proporcional ao agravo, além da indenização por dano material, moral ou à imagem;</w:t>
      </w:r>
    </w:p>
    <w:p w:rsidR="008C66E5" w:rsidRDefault="008C66E5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(...)</w:t>
      </w:r>
    </w:p>
    <w:p w:rsidR="00CD0332" w:rsidRPr="0004467B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Art. 37.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:rsidR="008C66E5" w:rsidRPr="0004467B" w:rsidRDefault="008C66E5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(...)</w:t>
      </w:r>
    </w:p>
    <w:p w:rsidR="008C66E5" w:rsidRDefault="008C66E5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 xml:space="preserve">§ 6°. As pessoas jurídicas de direito público e as de direito privado prestadoras de serviços públicos responderão pelos danos que seus agentes, </w:t>
      </w:r>
      <w:r w:rsidRPr="0004467B">
        <w:rPr>
          <w:rFonts w:ascii="Times New Roman" w:hAnsi="Times New Roman" w:cs="Times New Roman"/>
          <w:i/>
          <w:sz w:val="24"/>
          <w:szCs w:val="24"/>
        </w:rPr>
        <w:lastRenderedPageBreak/>
        <w:t>nessa qualidade, causarem a terceiros, assegurando o direito de regresso contra o responsável nos casos de dolo ou culpa.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(...)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Art. 196. 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Art. 197.  São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privado.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332" w:rsidRP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Art. 198.  As ações e serviços públicos de saúde integram uma rede regionalizada e hierarquizada e constituem um sistema único, organizado de acordo com as seguintes diretrizes: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I - descentralização, com direção única em cada esfera de governo;</w:t>
      </w:r>
    </w:p>
    <w:p w:rsidR="00CD0332" w:rsidRP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II - atendimento integral, com prioridade para as atividades preventivas, sem prejuízo dos serviços assistenciais;</w:t>
      </w:r>
    </w:p>
    <w:p w:rsidR="00CD0332" w:rsidRP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III - participação da comunidade.</w:t>
      </w:r>
    </w:p>
    <w:p w:rsidR="00CD0332" w:rsidRDefault="00CD0332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332">
        <w:rPr>
          <w:rFonts w:ascii="Times New Roman" w:hAnsi="Times New Roman" w:cs="Times New Roman"/>
          <w:i/>
          <w:sz w:val="24"/>
          <w:szCs w:val="24"/>
        </w:rPr>
        <w:t>§ 1º O sistema único de saúde será financiado, nos termos do art. 195, com recursos do orçamento da seguridade social, da União, dos Estados, do Distrito Federal e dos Municípios, além de outras fontes.</w:t>
      </w:r>
    </w:p>
    <w:p w:rsidR="00B54326" w:rsidRDefault="00B54326" w:rsidP="00A47205">
      <w:pPr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(...)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 Civil: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Pr="0004467B" w:rsidRDefault="0004467B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“</w:t>
      </w:r>
      <w:r w:rsidR="008C66E5" w:rsidRPr="0004467B">
        <w:rPr>
          <w:rFonts w:ascii="Times New Roman" w:hAnsi="Times New Roman" w:cs="Times New Roman"/>
          <w:i/>
          <w:sz w:val="24"/>
          <w:szCs w:val="24"/>
        </w:rPr>
        <w:t>Art. 186.</w:t>
      </w:r>
      <w:proofErr w:type="gramEnd"/>
      <w:r w:rsidR="008C66E5" w:rsidRPr="0004467B">
        <w:rPr>
          <w:rFonts w:ascii="Times New Roman" w:hAnsi="Times New Roman" w:cs="Times New Roman"/>
          <w:i/>
          <w:sz w:val="24"/>
          <w:szCs w:val="24"/>
        </w:rPr>
        <w:t xml:space="preserve"> Aquele que, por ação ou omissão voluntária, negligência ou imprudência, violar direito e causar dano a outrem, ainda que exclusivamente moral, comete ato ilícito.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Art. 402. Salvo as exceções expressamente previstas em lei, as perdas e danos devidos ao credor abrangem, além do ele efetivamente perdeu, o que razoavelmente deixou de lucrar.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Art. 927. Aquele que, por ato ilícito (</w:t>
      </w:r>
      <w:proofErr w:type="spellStart"/>
      <w:r w:rsidRPr="0004467B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04467B">
        <w:rPr>
          <w:rFonts w:ascii="Times New Roman" w:hAnsi="Times New Roman" w:cs="Times New Roman"/>
          <w:i/>
          <w:sz w:val="24"/>
          <w:szCs w:val="24"/>
        </w:rPr>
        <w:t xml:space="preserve">. 186 e 187), causar dano </w:t>
      </w: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à</w:t>
      </w:r>
      <w:proofErr w:type="gramEnd"/>
      <w:r w:rsidRPr="0004467B">
        <w:rPr>
          <w:rFonts w:ascii="Times New Roman" w:hAnsi="Times New Roman" w:cs="Times New Roman"/>
          <w:i/>
          <w:sz w:val="24"/>
          <w:szCs w:val="24"/>
        </w:rPr>
        <w:t xml:space="preserve"> outrem, fica obrigado a repará-lo.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 xml:space="preserve">Parágrafo único. </w:t>
      </w: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Haverá obrigação de reparar o dano, independentemente de culpa, nos casos especificados em lei, ou quando a atividade normalmente desenvolvida pelo autor do dano implicar, por sua natureza, risco para os direitos de outrem.</w:t>
      </w:r>
      <w:r w:rsidR="0004467B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Código Penal: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Pr="0004467B" w:rsidRDefault="0004467B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“</w:t>
      </w:r>
      <w:r w:rsidR="008C66E5" w:rsidRPr="0004467B">
        <w:rPr>
          <w:rFonts w:ascii="Times New Roman" w:hAnsi="Times New Roman" w:cs="Times New Roman"/>
          <w:i/>
          <w:sz w:val="24"/>
          <w:szCs w:val="24"/>
        </w:rPr>
        <w:t>Título II - Do Crime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End"/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 xml:space="preserve">Art. 13. O resultado, de que depende a existência do crime, somente é imputável a quem lhe deu causa. Considera-se causa a ação ou </w:t>
      </w:r>
      <w:r w:rsidRPr="00B54326">
        <w:rPr>
          <w:rFonts w:ascii="Times New Roman" w:hAnsi="Times New Roman" w:cs="Times New Roman"/>
          <w:b/>
          <w:i/>
          <w:sz w:val="24"/>
          <w:szCs w:val="24"/>
        </w:rPr>
        <w:t xml:space="preserve">omissão </w:t>
      </w:r>
      <w:r w:rsidRPr="0004467B">
        <w:rPr>
          <w:rFonts w:ascii="Times New Roman" w:hAnsi="Times New Roman" w:cs="Times New Roman"/>
          <w:i/>
          <w:sz w:val="24"/>
          <w:szCs w:val="24"/>
        </w:rPr>
        <w:t>sem a qual o resultado não teria ocorrido.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(...)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B54326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326">
        <w:rPr>
          <w:rFonts w:ascii="Times New Roman" w:hAnsi="Times New Roman" w:cs="Times New Roman"/>
          <w:b/>
          <w:i/>
          <w:sz w:val="24"/>
          <w:szCs w:val="24"/>
        </w:rPr>
        <w:t>Relevância da omissão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 xml:space="preserve">§ 2°. A omissão é penalmente relevante quando o </w:t>
      </w:r>
      <w:proofErr w:type="spellStart"/>
      <w:r w:rsidRPr="0004467B">
        <w:rPr>
          <w:rFonts w:ascii="Times New Roman" w:hAnsi="Times New Roman" w:cs="Times New Roman"/>
          <w:i/>
          <w:sz w:val="24"/>
          <w:szCs w:val="24"/>
        </w:rPr>
        <w:t>omitente</w:t>
      </w:r>
      <w:proofErr w:type="spellEnd"/>
      <w:r w:rsidRPr="0004467B">
        <w:rPr>
          <w:rFonts w:ascii="Times New Roman" w:hAnsi="Times New Roman" w:cs="Times New Roman"/>
          <w:i/>
          <w:sz w:val="24"/>
          <w:szCs w:val="24"/>
        </w:rPr>
        <w:t xml:space="preserve"> devia e podia agir para evitar o resultado. O dever de agir incumbe a quem: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4467B">
        <w:rPr>
          <w:rFonts w:ascii="Times New Roman" w:hAnsi="Times New Roman" w:cs="Times New Roman"/>
          <w:i/>
          <w:sz w:val="24"/>
          <w:szCs w:val="24"/>
        </w:rPr>
        <w:t>)</w:t>
      </w:r>
      <w:r w:rsidRPr="0004467B">
        <w:rPr>
          <w:rFonts w:ascii="Times New Roman" w:hAnsi="Times New Roman" w:cs="Times New Roman"/>
          <w:i/>
          <w:sz w:val="24"/>
          <w:szCs w:val="24"/>
        </w:rPr>
        <w:tab/>
        <w:t>tenha por lei obrigação de cuidado, proteção ou vigilância;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b)</w:t>
      </w:r>
      <w:proofErr w:type="gramEnd"/>
      <w:r w:rsidRPr="0004467B">
        <w:rPr>
          <w:rFonts w:ascii="Times New Roman" w:hAnsi="Times New Roman" w:cs="Times New Roman"/>
          <w:i/>
          <w:sz w:val="24"/>
          <w:szCs w:val="24"/>
        </w:rPr>
        <w:tab/>
        <w:t>de outra forma, assumiu a responsabilidade de impedir o resultado;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c)</w:t>
      </w:r>
      <w:proofErr w:type="gramEnd"/>
      <w:r w:rsidRPr="0004467B">
        <w:rPr>
          <w:rFonts w:ascii="Times New Roman" w:hAnsi="Times New Roman" w:cs="Times New Roman"/>
          <w:i/>
          <w:sz w:val="24"/>
          <w:szCs w:val="24"/>
        </w:rPr>
        <w:tab/>
        <w:t>com seu comportamento anterior, criou o risco da ocorrência do resultado.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Art. 18. Diz-se o crime: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Crime doloso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I - doloso, quando o agente quis o resultado ou assumiu o risco de produzi-lo;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Crime culposo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II - culposo, quando o agente deu causa ao resultado por imprudência, negligência ou imperícia.</w:t>
      </w:r>
      <w:r w:rsidR="0004467B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Jurisprudência: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326" w:rsidRPr="00B54326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326">
        <w:rPr>
          <w:rFonts w:ascii="Times New Roman" w:hAnsi="Times New Roman" w:cs="Times New Roman"/>
          <w:i/>
          <w:sz w:val="24"/>
          <w:szCs w:val="24"/>
        </w:rPr>
        <w:t xml:space="preserve">RECURSO INOMINADO. AÇÃO INDENIZATÓRIA. MUNICÍPIO DE PORTO ALEGRE. OMISSÃO NO ATENDIMENTO MÉDICO. DIREITO À SAÚDE. RESPONSABILIDADE SUBJETIVA DO ENTE PÚBLICO. DANO MORAL CARACTERIZADO. QUANTUM MINORADO. Tratando-se de ato omissivo da Administração, e sendo este passível de ensejar danos </w:t>
      </w:r>
      <w:proofErr w:type="gramStart"/>
      <w:r w:rsidRPr="00B54326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B54326">
        <w:rPr>
          <w:rFonts w:ascii="Times New Roman" w:hAnsi="Times New Roman" w:cs="Times New Roman"/>
          <w:i/>
          <w:sz w:val="24"/>
          <w:szCs w:val="24"/>
        </w:rPr>
        <w:t xml:space="preserve"> terceiro, com base no art. 186 do Código Civil, mostra-se necessária a análise acerca da responsabilidade civil subjetiva do ente público. Presentes todos os elementos, no caso, porquanto restou comprovada a negligência no atendimento prestado à parte autora. Dano moral configurado, in re </w:t>
      </w:r>
      <w:proofErr w:type="spellStart"/>
      <w:r w:rsidRPr="00B54326">
        <w:rPr>
          <w:rFonts w:ascii="Times New Roman" w:hAnsi="Times New Roman" w:cs="Times New Roman"/>
          <w:i/>
          <w:sz w:val="24"/>
          <w:szCs w:val="24"/>
        </w:rPr>
        <w:t>ipsa</w:t>
      </w:r>
      <w:proofErr w:type="spellEnd"/>
      <w:r w:rsidRPr="00B54326">
        <w:rPr>
          <w:rFonts w:ascii="Times New Roman" w:hAnsi="Times New Roman" w:cs="Times New Roman"/>
          <w:i/>
          <w:sz w:val="24"/>
          <w:szCs w:val="24"/>
        </w:rPr>
        <w:t xml:space="preserve">, isto é, independentemente de comprovação de quaisquer abalos à honra ou ao bem estar da autora, em razão do caráter </w:t>
      </w:r>
      <w:r w:rsidRPr="00B543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punitivo-compensatório da reparação. Entretanto, deve ser minorado o quantum indenizatório, observados os princípios da proporcionalidade e da </w:t>
      </w:r>
      <w:proofErr w:type="gramStart"/>
      <w:r w:rsidRPr="00B54326">
        <w:rPr>
          <w:rFonts w:ascii="Times New Roman" w:hAnsi="Times New Roman" w:cs="Times New Roman"/>
          <w:i/>
          <w:sz w:val="24"/>
          <w:szCs w:val="24"/>
        </w:rPr>
        <w:t>razoabilidade .</w:t>
      </w:r>
      <w:proofErr w:type="gramEnd"/>
      <w:r w:rsidRPr="00B54326">
        <w:rPr>
          <w:rFonts w:ascii="Times New Roman" w:hAnsi="Times New Roman" w:cs="Times New Roman"/>
          <w:i/>
          <w:sz w:val="24"/>
          <w:szCs w:val="24"/>
        </w:rPr>
        <w:t xml:space="preserve"> RECURSO DA PARTE AUTORA IMPROVIDO. RECURSO DA PARTE RÉ PARCIALMENTE PROVIDO. (Recurso Cível Nº 71004578274, Turma Recursal da Fazenda Pública, Turmas Recursais, Relator: Luís Francisco Franco, Julgado em 14/11/2013</w:t>
      </w:r>
      <w:proofErr w:type="gramStart"/>
      <w:r w:rsidRPr="00B5432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54326" w:rsidRPr="00B54326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54326">
        <w:rPr>
          <w:rFonts w:ascii="Times New Roman" w:hAnsi="Times New Roman" w:cs="Times New Roman"/>
          <w:i/>
          <w:sz w:val="24"/>
          <w:szCs w:val="24"/>
        </w:rPr>
        <w:t>(TJ-RS - Recurso Cível: 71004578274 RS, Relator: Luís Francisco Franco</w:t>
      </w:r>
      <w:proofErr w:type="gramStart"/>
      <w:r w:rsidRPr="00B54326">
        <w:rPr>
          <w:rFonts w:ascii="Times New Roman" w:hAnsi="Times New Roman" w:cs="Times New Roman"/>
          <w:i/>
          <w:sz w:val="24"/>
          <w:szCs w:val="24"/>
        </w:rPr>
        <w:t>, Data</w:t>
      </w:r>
      <w:proofErr w:type="gramEnd"/>
      <w:r w:rsidRPr="00B54326">
        <w:rPr>
          <w:rFonts w:ascii="Times New Roman" w:hAnsi="Times New Roman" w:cs="Times New Roman"/>
          <w:i/>
          <w:sz w:val="24"/>
          <w:szCs w:val="24"/>
        </w:rPr>
        <w:t xml:space="preserve"> de Julgamento: 14/11/2013,  Turma Recursal da Fazenda Pública, Data de Publicação: Diário da Justiça do dia 27/11/2013)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PROCESSUAL CIVIL - RECURSO DE AGRAVO - INDENIZAÇÃO POR DANOS MORAIS - DECISÃO MONOCRÁTICA EM OBSERVÂNCIA AOS REQUISITOS DO ART. 557, CPC - CONSTITUCIONALIDADE - CONCESSIONÁRIA DE SERVIÇO PÚBLICO - MORTE DO CHEFE DE FAMÍLIA POR ELETROPLESSÃO - RESPONSABILIDADE OBJETIVA - ART. 37, §6º, CF - CULPA EXCLUSIVA DA VÍTIMA NÃO DEMONSTRADA - TESE DA IRRESPONSABILIDADE CIVIL DO ESTADO EM RAZÃO DA EXCLUDENTE DO ESTRITO CUMPRIMENTO DO DEVER LEGAL - NÃO APLICÁVEL - MANUTENÇÃO DA DECISÃO.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>1. É legítimo o julgamento monocrático quando observados os requisitos do art. 557, §1-A, do CPC, não configurando sua utilização violação a Constituição Federal, que garante o duplo grau de jurisdição, haja vista ser permitido, pela lei processual, poder o relator rever sua decisão, bem como, acaso não se retrate, submeter o recurso ao controle do colegiado. 2. A companhia estadual de energia elétrica é detentora de responsabilidade objetiva, nos termos do art. 37, §6º, da CF, bastando ao autor demonstrar a existência do dano e do nexo de causalidade, independentemente de dolo ou culpa da concessionária ou dos seus agentes, para haver a indenização pleiteada.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3.</w:t>
      </w:r>
      <w:proofErr w:type="gramEnd"/>
      <w:r w:rsidRPr="0004467B">
        <w:rPr>
          <w:rFonts w:ascii="Times New Roman" w:hAnsi="Times New Roman" w:cs="Times New Roman"/>
          <w:i/>
          <w:sz w:val="24"/>
          <w:szCs w:val="24"/>
        </w:rPr>
        <w:t>Fica a cargo da concessionária o ônus da prova de causa que exclua sua responsabilidade.</w:t>
      </w:r>
    </w:p>
    <w:p w:rsidR="008C66E5" w:rsidRPr="0004467B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67B">
        <w:rPr>
          <w:rFonts w:ascii="Times New Roman" w:hAnsi="Times New Roman" w:cs="Times New Roman"/>
          <w:i/>
          <w:sz w:val="24"/>
          <w:szCs w:val="24"/>
        </w:rPr>
        <w:t>4.</w:t>
      </w:r>
      <w:proofErr w:type="gramEnd"/>
      <w:r w:rsidRPr="0004467B">
        <w:rPr>
          <w:rFonts w:ascii="Times New Roman" w:hAnsi="Times New Roman" w:cs="Times New Roman"/>
          <w:i/>
          <w:sz w:val="24"/>
          <w:szCs w:val="24"/>
        </w:rPr>
        <w:t xml:space="preserve">Ausente prova relativa à culpa exclusiva da vítima e sendo as causas excludentes da responsabilidade limitada ao nexo causal entre o comportamento e o dano, inviável chegar a conclusão diversa da já proferida, no sentido de manutenção do </w:t>
      </w:r>
      <w:proofErr w:type="spellStart"/>
      <w:r w:rsidRPr="0004467B">
        <w:rPr>
          <w:rFonts w:ascii="Times New Roman" w:hAnsi="Times New Roman" w:cs="Times New Roman"/>
          <w:i/>
          <w:sz w:val="24"/>
          <w:szCs w:val="24"/>
        </w:rPr>
        <w:t>pensionamento</w:t>
      </w:r>
      <w:proofErr w:type="spellEnd"/>
      <w:r w:rsidRPr="0004467B">
        <w:rPr>
          <w:rFonts w:ascii="Times New Roman" w:hAnsi="Times New Roman" w:cs="Times New Roman"/>
          <w:i/>
          <w:sz w:val="24"/>
          <w:szCs w:val="24"/>
        </w:rPr>
        <w:t xml:space="preserve"> arbitrado pelo juízo singular aos agravados.</w:t>
      </w:r>
    </w:p>
    <w:p w:rsidR="008C66E5" w:rsidRDefault="008C66E5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7B">
        <w:rPr>
          <w:rFonts w:ascii="Times New Roman" w:hAnsi="Times New Roman" w:cs="Times New Roman"/>
          <w:i/>
          <w:sz w:val="24"/>
          <w:szCs w:val="24"/>
        </w:rPr>
        <w:t xml:space="preserve">(TJPE - Agravo 194273-8/01; Relator Francisco Eduardo </w:t>
      </w:r>
      <w:proofErr w:type="spellStart"/>
      <w:r w:rsidRPr="0004467B">
        <w:rPr>
          <w:rFonts w:ascii="Times New Roman" w:hAnsi="Times New Roman" w:cs="Times New Roman"/>
          <w:i/>
          <w:sz w:val="24"/>
          <w:szCs w:val="24"/>
        </w:rPr>
        <w:t>Goncalves</w:t>
      </w:r>
      <w:proofErr w:type="spellEnd"/>
      <w:r w:rsidRPr="000446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467B">
        <w:rPr>
          <w:rFonts w:ascii="Times New Roman" w:hAnsi="Times New Roman" w:cs="Times New Roman"/>
          <w:i/>
          <w:sz w:val="24"/>
          <w:szCs w:val="24"/>
        </w:rPr>
        <w:t>Sertorio</w:t>
      </w:r>
      <w:proofErr w:type="spellEnd"/>
      <w:r w:rsidRPr="0004467B">
        <w:rPr>
          <w:rFonts w:ascii="Times New Roman" w:hAnsi="Times New Roman" w:cs="Times New Roman"/>
          <w:i/>
          <w:sz w:val="24"/>
          <w:szCs w:val="24"/>
        </w:rPr>
        <w:t xml:space="preserve"> Canto; 3ª Câmara Cível; 4/2/2010</w:t>
      </w:r>
      <w:r w:rsidR="00B54326">
        <w:rPr>
          <w:rFonts w:ascii="Times New Roman" w:hAnsi="Times New Roman" w:cs="Times New Roman"/>
          <w:i/>
          <w:sz w:val="24"/>
          <w:szCs w:val="24"/>
        </w:rPr>
        <w:t>).</w:t>
      </w:r>
    </w:p>
    <w:p w:rsidR="00B54326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326" w:rsidRPr="00B54326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326">
        <w:rPr>
          <w:rFonts w:ascii="Times New Roman" w:hAnsi="Times New Roman" w:cs="Times New Roman"/>
          <w:i/>
          <w:sz w:val="24"/>
          <w:szCs w:val="24"/>
        </w:rPr>
        <w:t xml:space="preserve">APELAÇÃO CÍVEL - INDENIZAÇÃO - FALECIMENTO DA GENITORA DA AUTORA - OMISSÃO NO ATENDIMENTO - RESPONSABILIDADE OBJETIVA - MÁ PRESTAÇÃO DO SERVIÇO - AUSÊNCIA DE MÉDICO PLANTONISTA - DANO MORAL IN RE IPSA - QUANTUM MANTIDO - RECURSO DESPROVIDO. - A responsabilidade civil do Hospital é objetiva. - Comprovado o dano, a conduta omissiva e o nexo causal, surge </w:t>
      </w:r>
      <w:r w:rsidRPr="00B543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para a autora o direito de ser ressarcida pelos danos materiais e reparada pelos danos extrapatrimoniais, que no caso, é presumido. - Danos morais arbitrados de acordo com </w:t>
      </w:r>
      <w:proofErr w:type="gramStart"/>
      <w:r w:rsidRPr="00B54326">
        <w:rPr>
          <w:rFonts w:ascii="Times New Roman" w:hAnsi="Times New Roman" w:cs="Times New Roman"/>
          <w:i/>
          <w:sz w:val="24"/>
          <w:szCs w:val="24"/>
        </w:rPr>
        <w:t>o binômio necessidade-possibilidade</w:t>
      </w:r>
      <w:proofErr w:type="gramEnd"/>
      <w:r w:rsidRPr="00B54326">
        <w:rPr>
          <w:rFonts w:ascii="Times New Roman" w:hAnsi="Times New Roman" w:cs="Times New Roman"/>
          <w:i/>
          <w:sz w:val="24"/>
          <w:szCs w:val="24"/>
        </w:rPr>
        <w:t>. (</w:t>
      </w:r>
      <w:proofErr w:type="spellStart"/>
      <w:proofErr w:type="gramStart"/>
      <w:r w:rsidRPr="00B54326">
        <w:rPr>
          <w:rFonts w:ascii="Times New Roman" w:hAnsi="Times New Roman" w:cs="Times New Roman"/>
          <w:i/>
          <w:sz w:val="24"/>
          <w:szCs w:val="24"/>
        </w:rPr>
        <w:t>Ap</w:t>
      </w:r>
      <w:proofErr w:type="spellEnd"/>
      <w:proofErr w:type="gramEnd"/>
      <w:r w:rsidRPr="00B54326">
        <w:rPr>
          <w:rFonts w:ascii="Times New Roman" w:hAnsi="Times New Roman" w:cs="Times New Roman"/>
          <w:i/>
          <w:sz w:val="24"/>
          <w:szCs w:val="24"/>
        </w:rPr>
        <w:t xml:space="preserve"> 16073/2009, DES. A. BITAR FILHO, SEGUNDA CÂMARA CÍVEL, Julgado em 24/02/2010, Publicado no DJE 24/03/2010)</w:t>
      </w:r>
    </w:p>
    <w:p w:rsidR="00B54326" w:rsidRPr="00B54326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326" w:rsidRPr="0004467B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326">
        <w:rPr>
          <w:rFonts w:ascii="Times New Roman" w:hAnsi="Times New Roman" w:cs="Times New Roman"/>
          <w:i/>
          <w:sz w:val="24"/>
          <w:szCs w:val="24"/>
        </w:rPr>
        <w:t>(TJ-MT - APL: 00160735520098110000 16073/2009, Relator: DES. A. BITAR FILHO</w:t>
      </w:r>
      <w:proofErr w:type="gramStart"/>
      <w:r w:rsidRPr="00B54326">
        <w:rPr>
          <w:rFonts w:ascii="Times New Roman" w:hAnsi="Times New Roman" w:cs="Times New Roman"/>
          <w:i/>
          <w:sz w:val="24"/>
          <w:szCs w:val="24"/>
        </w:rPr>
        <w:t>, Data</w:t>
      </w:r>
      <w:proofErr w:type="gramEnd"/>
      <w:r w:rsidRPr="00B54326">
        <w:rPr>
          <w:rFonts w:ascii="Times New Roman" w:hAnsi="Times New Roman" w:cs="Times New Roman"/>
          <w:i/>
          <w:sz w:val="24"/>
          <w:szCs w:val="24"/>
        </w:rPr>
        <w:t xml:space="preserve"> de Julgamento: 24/02/2010,  SEGUNDA CÂMARA CÍVEL, Data de Publicação: 24/03/2010)</w:t>
      </w:r>
      <w:r w:rsidR="004A475D">
        <w:rPr>
          <w:rFonts w:ascii="Times New Roman" w:hAnsi="Times New Roman" w:cs="Times New Roman"/>
          <w:i/>
          <w:sz w:val="24"/>
          <w:szCs w:val="24"/>
        </w:rPr>
        <w:t>.</w:t>
      </w:r>
    </w:p>
    <w:p w:rsidR="00B54326" w:rsidRPr="0004467B" w:rsidRDefault="00B54326" w:rsidP="00A4720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legislação pertinente a matéria e gravidade do risco </w:t>
      </w:r>
      <w:r w:rsidR="004A475D">
        <w:rPr>
          <w:rFonts w:ascii="Times New Roman" w:hAnsi="Times New Roman" w:cs="Times New Roman"/>
          <w:sz w:val="24"/>
          <w:szCs w:val="24"/>
        </w:rPr>
        <w:t>à vida e a saúde</w:t>
      </w:r>
      <w:r>
        <w:rPr>
          <w:rFonts w:ascii="Times New Roman" w:hAnsi="Times New Roman" w:cs="Times New Roman"/>
          <w:sz w:val="24"/>
          <w:szCs w:val="24"/>
        </w:rPr>
        <w:t>, como já ocorreu, expondo a perigo de vida os muníc</w:t>
      </w:r>
      <w:r w:rsidR="00780CEB">
        <w:rPr>
          <w:rFonts w:ascii="Times New Roman" w:hAnsi="Times New Roman" w:cs="Times New Roman"/>
          <w:sz w:val="24"/>
          <w:szCs w:val="24"/>
        </w:rPr>
        <w:t>ipes, bem como perdas materiais;</w:t>
      </w:r>
      <w:r>
        <w:rPr>
          <w:rFonts w:ascii="Times New Roman" w:hAnsi="Times New Roman" w:cs="Times New Roman"/>
          <w:sz w:val="24"/>
          <w:szCs w:val="24"/>
        </w:rPr>
        <w:t xml:space="preserve"> é dever, não só do </w:t>
      </w:r>
      <w:r w:rsidR="004A475D">
        <w:rPr>
          <w:rFonts w:ascii="Times New Roman" w:hAnsi="Times New Roman" w:cs="Times New Roman"/>
          <w:sz w:val="24"/>
          <w:szCs w:val="24"/>
        </w:rPr>
        <w:t>Estado</w:t>
      </w:r>
      <w:r>
        <w:rPr>
          <w:rFonts w:ascii="Times New Roman" w:hAnsi="Times New Roman" w:cs="Times New Roman"/>
          <w:sz w:val="24"/>
          <w:szCs w:val="24"/>
        </w:rPr>
        <w:t>, bem como das autoridades que vierem a ter c</w:t>
      </w:r>
      <w:r w:rsidR="00780CEB">
        <w:rPr>
          <w:rFonts w:ascii="Times New Roman" w:hAnsi="Times New Roman" w:cs="Times New Roman"/>
          <w:sz w:val="24"/>
          <w:szCs w:val="24"/>
        </w:rPr>
        <w:t>iência da gravidade da situação, tomarem um posicionamento para mudar a atual situação do Hospital Regional de Sorriso.</w:t>
      </w:r>
    </w:p>
    <w:p w:rsidR="008C66E5" w:rsidRDefault="008C66E5" w:rsidP="00A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existem inúmeros </w:t>
      </w:r>
      <w:r w:rsidR="004A475D">
        <w:rPr>
          <w:rFonts w:ascii="Times New Roman" w:hAnsi="Times New Roman" w:cs="Times New Roman"/>
          <w:sz w:val="24"/>
          <w:szCs w:val="24"/>
        </w:rPr>
        <w:t>pacientes graves, especialmente nos casos de tumores cancerígenos,</w:t>
      </w:r>
      <w:r>
        <w:rPr>
          <w:rFonts w:ascii="Times New Roman" w:hAnsi="Times New Roman" w:cs="Times New Roman"/>
          <w:sz w:val="24"/>
          <w:szCs w:val="24"/>
        </w:rPr>
        <w:t xml:space="preserve"> por conseguinte, inúmeras consequências penais e civis, são de extrema conveniência e oportunidade a </w:t>
      </w:r>
      <w:r w:rsidR="004A475D">
        <w:rPr>
          <w:rFonts w:ascii="Times New Roman" w:hAnsi="Times New Roman" w:cs="Times New Roman"/>
          <w:sz w:val="24"/>
          <w:szCs w:val="24"/>
        </w:rPr>
        <w:t>regularização no atendimento médico no Hospital Regional de Sorriso sem normalizado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75D" w:rsidRDefault="004A475D" w:rsidP="00A47205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0B104B">
        <w:rPr>
          <w:rFonts w:ascii="Times New Roman" w:hAnsi="Times New Roman" w:cs="Times New Roman"/>
          <w:color w:val="000000"/>
        </w:rPr>
        <w:t>1</w:t>
      </w:r>
      <w:r w:rsidR="004A475D">
        <w:rPr>
          <w:rFonts w:ascii="Times New Roman" w:hAnsi="Times New Roman" w:cs="Times New Roman"/>
          <w:color w:val="000000"/>
        </w:rPr>
        <w:t>7</w:t>
      </w:r>
      <w:r w:rsidR="000B104B">
        <w:rPr>
          <w:rFonts w:ascii="Times New Roman" w:hAnsi="Times New Roman" w:cs="Times New Roman"/>
          <w:color w:val="000000"/>
        </w:rPr>
        <w:t xml:space="preserve"> de </w:t>
      </w:r>
      <w:r w:rsidR="00A47205">
        <w:rPr>
          <w:rFonts w:ascii="Times New Roman" w:hAnsi="Times New Roman" w:cs="Times New Roman"/>
          <w:color w:val="000000"/>
        </w:rPr>
        <w:t>o</w:t>
      </w:r>
      <w:r w:rsidR="004A475D">
        <w:rPr>
          <w:rFonts w:ascii="Times New Roman" w:hAnsi="Times New Roman" w:cs="Times New Roman"/>
          <w:color w:val="000000"/>
        </w:rPr>
        <w:t>utubro</w:t>
      </w:r>
      <w:r w:rsidR="000B104B">
        <w:rPr>
          <w:rFonts w:ascii="Times New Roman" w:hAnsi="Times New Roman" w:cs="Times New Roman"/>
          <w:color w:val="000000"/>
        </w:rPr>
        <w:t xml:space="preserve"> de 201</w:t>
      </w:r>
      <w:r w:rsidR="004A475D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</w:t>
      </w:r>
    </w:p>
    <w:p w:rsidR="008C66E5" w:rsidRDefault="008C66E5" w:rsidP="00A4720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6B4AC6" w:rsidRDefault="006B4AC6" w:rsidP="00A4720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8C66E5" w:rsidRDefault="008C66E5" w:rsidP="00A4720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5"/>
        <w:gridCol w:w="2977"/>
        <w:gridCol w:w="3118"/>
      </w:tblGrid>
      <w:tr w:rsidR="008C66E5" w:rsidRPr="008C66E5" w:rsidTr="00A4720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7205" w:rsidRPr="008C66E5" w:rsidRDefault="00A4720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</w:t>
            </w:r>
            <w:r w:rsidR="004A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4A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</w:t>
            </w:r>
          </w:p>
        </w:tc>
      </w:tr>
      <w:tr w:rsidR="008C66E5" w:rsidRPr="008C66E5" w:rsidTr="00A4720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04467B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HILTON </w:t>
            </w:r>
            <w:r w:rsidR="008C66E5"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  <w:p w:rsidR="00A47205" w:rsidRDefault="00A4720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7205" w:rsidRDefault="00A4720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7205" w:rsidRPr="008C66E5" w:rsidRDefault="00A4720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4A4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47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</w:t>
            </w:r>
          </w:p>
        </w:tc>
      </w:tr>
      <w:tr w:rsidR="008C66E5" w:rsidRPr="008C66E5" w:rsidTr="00A4720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C66E5" w:rsidRPr="008C66E5" w:rsidRDefault="008C66E5" w:rsidP="00A4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66E5" w:rsidRDefault="008C66E5" w:rsidP="00A47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66E5" w:rsidSect="00A47205">
      <w:headerReference w:type="default" r:id="rId6"/>
      <w:pgSz w:w="11906" w:h="16838"/>
      <w:pgMar w:top="2410" w:right="1274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5D" w:rsidRDefault="00B2585D">
      <w:pPr>
        <w:spacing w:after="0" w:line="240" w:lineRule="auto"/>
      </w:pPr>
      <w:r>
        <w:separator/>
      </w:r>
    </w:p>
  </w:endnote>
  <w:endnote w:type="continuationSeparator" w:id="0">
    <w:p w:rsidR="00B2585D" w:rsidRDefault="00B2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5D" w:rsidRDefault="00B2585D">
      <w:pPr>
        <w:spacing w:after="0" w:line="240" w:lineRule="auto"/>
      </w:pPr>
      <w:r>
        <w:separator/>
      </w:r>
    </w:p>
  </w:footnote>
  <w:footnote w:type="continuationSeparator" w:id="0">
    <w:p w:rsidR="00B2585D" w:rsidRDefault="00B2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E5" w:rsidRDefault="008C66E5">
    <w:pPr>
      <w:spacing w:after="0" w:line="240" w:lineRule="auto"/>
      <w:jc w:val="right"/>
      <w:rPr>
        <w:rFonts w:ascii="Arial" w:hAnsi="Arial" w:cs="Arial"/>
        <w:sz w:val="24"/>
        <w:szCs w:val="24"/>
      </w:rPr>
    </w:pPr>
  </w:p>
  <w:p w:rsidR="008C66E5" w:rsidRDefault="008C66E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C66E5" w:rsidRDefault="008C66E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C66E5" w:rsidRDefault="008C66E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C66E5" w:rsidRDefault="008C66E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C66E5" w:rsidRDefault="008C66E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C66E5" w:rsidRDefault="008C66E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C66E5" w:rsidRDefault="008C66E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53B3"/>
    <w:rsid w:val="0004467B"/>
    <w:rsid w:val="000B104B"/>
    <w:rsid w:val="000B1E19"/>
    <w:rsid w:val="002E7EC5"/>
    <w:rsid w:val="00314D1E"/>
    <w:rsid w:val="004A475D"/>
    <w:rsid w:val="00606821"/>
    <w:rsid w:val="006B4AC6"/>
    <w:rsid w:val="006D53B3"/>
    <w:rsid w:val="00780CEB"/>
    <w:rsid w:val="008C66E5"/>
    <w:rsid w:val="00A47205"/>
    <w:rsid w:val="00B17664"/>
    <w:rsid w:val="00B2585D"/>
    <w:rsid w:val="00B54326"/>
    <w:rsid w:val="00CD0332"/>
    <w:rsid w:val="00D52333"/>
    <w:rsid w:val="00E07BE7"/>
    <w:rsid w:val="00E31267"/>
    <w:rsid w:val="00FE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C5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7EC5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abealhoChar">
    <w:name w:val="Cabeçalho Char"/>
    <w:link w:val="Cabealho"/>
    <w:uiPriority w:val="99"/>
    <w:rsid w:val="002E7EC5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2E7EC5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E7EC5"/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2E7EC5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uiPriority w:val="99"/>
    <w:semiHidden/>
    <w:unhideWhenUsed/>
    <w:rsid w:val="00314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1889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Minéia Gund</cp:lastModifiedBy>
  <cp:revision>4</cp:revision>
  <cp:lastPrinted>2015-02-11T12:12:00Z</cp:lastPrinted>
  <dcterms:created xsi:type="dcterms:W3CDTF">2016-10-17T11:37:00Z</dcterms:created>
  <dcterms:modified xsi:type="dcterms:W3CDTF">2016-10-17T12:32:00Z</dcterms:modified>
</cp:coreProperties>
</file>