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46" w:rsidRDefault="00320F46" w:rsidP="00DC271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Pr="00194C7B" w:rsidRDefault="003D640F" w:rsidP="00DC271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RELATÓRIO</w:t>
      </w:r>
      <w:r w:rsidR="00194C7B" w:rsidRPr="00194C7B">
        <w:rPr>
          <w:b/>
          <w:bCs w:val="0"/>
          <w:sz w:val="24"/>
        </w:rPr>
        <w:t xml:space="preserve"> DO RELATOR</w:t>
      </w:r>
      <w:r w:rsidR="00426A2B" w:rsidRPr="00194C7B">
        <w:rPr>
          <w:b/>
          <w:bCs w:val="0"/>
          <w:sz w:val="24"/>
        </w:rPr>
        <w:t xml:space="preserve"> </w:t>
      </w:r>
      <w:bookmarkStart w:id="0" w:name="_GoBack"/>
      <w:r w:rsidR="00426A2B" w:rsidRPr="00194C7B">
        <w:rPr>
          <w:b/>
          <w:bCs w:val="0"/>
          <w:sz w:val="24"/>
        </w:rPr>
        <w:t>COMISSÃO</w:t>
      </w:r>
      <w:bookmarkEnd w:id="0"/>
      <w:r w:rsidR="00426A2B" w:rsidRPr="00194C7B">
        <w:rPr>
          <w:b/>
          <w:bCs w:val="0"/>
          <w:sz w:val="24"/>
        </w:rPr>
        <w:t xml:space="preserve"> DE </w:t>
      </w:r>
      <w:r w:rsidR="00026AD5" w:rsidRPr="00194C7B">
        <w:rPr>
          <w:b/>
          <w:bCs w:val="0"/>
          <w:sz w:val="24"/>
        </w:rPr>
        <w:t>FINANÇAS, ORÇAMENTOS E FISCALIZAÇÃO.</w:t>
      </w:r>
    </w:p>
    <w:p w:rsidR="00426A2B" w:rsidRPr="00194C7B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194C7B" w:rsidRDefault="00426A2B" w:rsidP="00DB5D46">
      <w:pPr>
        <w:pStyle w:val="Ttulo8"/>
        <w:spacing w:before="0" w:after="0"/>
        <w:jc w:val="both"/>
        <w:rPr>
          <w:i w:val="0"/>
        </w:rPr>
      </w:pPr>
    </w:p>
    <w:p w:rsidR="00426A2B" w:rsidRPr="00194C7B" w:rsidRDefault="00426A2B" w:rsidP="00426A2B">
      <w:pPr>
        <w:rPr>
          <w:sz w:val="24"/>
          <w:szCs w:val="24"/>
        </w:rPr>
      </w:pPr>
    </w:p>
    <w:p w:rsidR="00426A2B" w:rsidRPr="00194C7B" w:rsidRDefault="00426A2B" w:rsidP="00426A2B">
      <w:pPr>
        <w:jc w:val="both"/>
        <w:rPr>
          <w:bCs/>
          <w:sz w:val="24"/>
          <w:szCs w:val="24"/>
        </w:rPr>
      </w:pPr>
      <w:r w:rsidRPr="00194C7B">
        <w:rPr>
          <w:b/>
          <w:bCs/>
          <w:sz w:val="24"/>
          <w:szCs w:val="24"/>
        </w:rPr>
        <w:t>DATA:</w:t>
      </w:r>
      <w:r w:rsidR="00532906" w:rsidRPr="00194C7B">
        <w:rPr>
          <w:bCs/>
          <w:sz w:val="24"/>
          <w:szCs w:val="24"/>
        </w:rPr>
        <w:t xml:space="preserve"> </w:t>
      </w:r>
      <w:r w:rsidR="00194C7B" w:rsidRPr="00194C7B">
        <w:rPr>
          <w:bCs/>
          <w:sz w:val="24"/>
          <w:szCs w:val="24"/>
        </w:rPr>
        <w:t>04/04</w:t>
      </w:r>
      <w:r w:rsidR="00DB5D46" w:rsidRPr="00194C7B">
        <w:rPr>
          <w:bCs/>
          <w:sz w:val="24"/>
          <w:szCs w:val="24"/>
        </w:rPr>
        <w:t>/2019</w:t>
      </w:r>
      <w:r w:rsidR="00650AC7" w:rsidRPr="00194C7B">
        <w:rPr>
          <w:bCs/>
          <w:sz w:val="24"/>
          <w:szCs w:val="24"/>
        </w:rPr>
        <w:t>.</w:t>
      </w:r>
    </w:p>
    <w:p w:rsidR="00426A2B" w:rsidRPr="00194C7B" w:rsidRDefault="00426A2B" w:rsidP="00426A2B">
      <w:pPr>
        <w:jc w:val="both"/>
        <w:rPr>
          <w:sz w:val="24"/>
          <w:szCs w:val="24"/>
        </w:rPr>
      </w:pPr>
    </w:p>
    <w:p w:rsidR="001879BE" w:rsidRPr="00194C7B" w:rsidRDefault="00426A2B" w:rsidP="001879BE">
      <w:pPr>
        <w:rPr>
          <w:bCs/>
          <w:iCs/>
          <w:sz w:val="24"/>
          <w:szCs w:val="24"/>
        </w:rPr>
      </w:pPr>
      <w:r w:rsidRPr="00194C7B">
        <w:rPr>
          <w:b/>
          <w:bCs/>
          <w:sz w:val="24"/>
          <w:szCs w:val="24"/>
        </w:rPr>
        <w:t xml:space="preserve">ASSUNTO: </w:t>
      </w:r>
      <w:r w:rsidR="00194C7B" w:rsidRPr="00194C7B">
        <w:rPr>
          <w:sz w:val="24"/>
          <w:szCs w:val="24"/>
        </w:rPr>
        <w:t>Projeto de Lei n° 32/2019, substitutivo ao Projeto de Lei nº 12/2019.</w:t>
      </w:r>
    </w:p>
    <w:p w:rsidR="00DB5D46" w:rsidRPr="00194C7B" w:rsidRDefault="00DB5D46" w:rsidP="001879BE">
      <w:pPr>
        <w:rPr>
          <w:sz w:val="24"/>
          <w:szCs w:val="24"/>
        </w:rPr>
      </w:pPr>
    </w:p>
    <w:p w:rsidR="00650AC7" w:rsidRPr="00194C7B" w:rsidRDefault="00DB5D46" w:rsidP="00650AC7">
      <w:pPr>
        <w:pStyle w:val="Recuodecorpodetexto2"/>
        <w:ind w:left="0"/>
        <w:rPr>
          <w:sz w:val="24"/>
          <w:szCs w:val="24"/>
        </w:rPr>
      </w:pPr>
      <w:r w:rsidRPr="00194C7B">
        <w:rPr>
          <w:b/>
          <w:sz w:val="24"/>
          <w:szCs w:val="24"/>
        </w:rPr>
        <w:t>EMENTA:</w:t>
      </w:r>
      <w:r w:rsidR="004F5415" w:rsidRPr="00194C7B">
        <w:rPr>
          <w:sz w:val="24"/>
          <w:szCs w:val="24"/>
        </w:rPr>
        <w:t xml:space="preserve"> </w:t>
      </w:r>
      <w:r w:rsidR="00194C7B" w:rsidRPr="00194C7B">
        <w:rPr>
          <w:iCs/>
          <w:sz w:val="24"/>
          <w:szCs w:val="24"/>
        </w:rPr>
        <w:t>Autoriza o Poder Executivo a contratar Operação de Crédito junto à Caixa Econômica Federal – CEF, no âmbito do Programa FINISA - Financiamento à Infraestrutura e ao Saneamento na Modalidade Apoio Financeiro destinado a aplicação em Despesa de Capital, a oferecer garantias e dá outras providências.</w:t>
      </w:r>
    </w:p>
    <w:p w:rsidR="00EE6398" w:rsidRPr="00194C7B" w:rsidRDefault="00EE6398" w:rsidP="00076BD2">
      <w:pPr>
        <w:pStyle w:val="Recuodecorpodetexto2"/>
        <w:ind w:left="0"/>
        <w:rPr>
          <w:bCs/>
          <w:iCs/>
          <w:sz w:val="24"/>
          <w:szCs w:val="24"/>
        </w:rPr>
      </w:pPr>
    </w:p>
    <w:p w:rsidR="00426A2B" w:rsidRPr="00194C7B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194C7B">
        <w:rPr>
          <w:b/>
          <w:bCs/>
          <w:sz w:val="24"/>
          <w:szCs w:val="24"/>
        </w:rPr>
        <w:t>RELATOR:</w:t>
      </w:r>
      <w:r w:rsidRPr="00194C7B">
        <w:rPr>
          <w:b/>
          <w:sz w:val="24"/>
          <w:szCs w:val="24"/>
        </w:rPr>
        <w:t xml:space="preserve"> </w:t>
      </w:r>
      <w:r w:rsidR="00C56927" w:rsidRPr="00194C7B">
        <w:rPr>
          <w:sz w:val="24"/>
          <w:szCs w:val="24"/>
        </w:rPr>
        <w:t>Nereu Bresolin</w:t>
      </w:r>
    </w:p>
    <w:p w:rsidR="00426A2B" w:rsidRPr="00194C7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194C7B" w:rsidRDefault="00426A2B" w:rsidP="00194C7B">
      <w:pPr>
        <w:jc w:val="both"/>
        <w:rPr>
          <w:sz w:val="24"/>
          <w:szCs w:val="24"/>
        </w:rPr>
      </w:pPr>
      <w:r w:rsidRPr="00194C7B">
        <w:rPr>
          <w:b/>
          <w:bCs/>
          <w:sz w:val="24"/>
          <w:szCs w:val="24"/>
        </w:rPr>
        <w:t>RELATÓRIO:</w:t>
      </w:r>
      <w:r w:rsidR="001879BE" w:rsidRPr="00194C7B">
        <w:rPr>
          <w:b/>
          <w:sz w:val="24"/>
          <w:szCs w:val="24"/>
        </w:rPr>
        <w:t xml:space="preserve"> </w:t>
      </w:r>
      <w:r w:rsidR="00194C7B">
        <w:rPr>
          <w:sz w:val="24"/>
          <w:szCs w:val="24"/>
        </w:rPr>
        <w:t xml:space="preserve">No quarto dia do mês de abril do ano de dois mil e dezenove, submete-se à análise desta comissão o Projeto de Lei n° 32/2019, substitutivo ao Projeto de Lei nº 12/2019, de autoria do Poder Executivo, que trata de autorização para contratação de crédito junto à Caixa Econômica Federal no valor de R$ 45.000.000,00 (quarenta e cinco milhões) sendo R$ 25.000.000,00 </w:t>
      </w:r>
      <w:proofErr w:type="gramStart"/>
      <w:r w:rsidR="00194C7B">
        <w:rPr>
          <w:sz w:val="24"/>
          <w:szCs w:val="24"/>
        </w:rPr>
        <w:t xml:space="preserve">( </w:t>
      </w:r>
      <w:proofErr w:type="gramEnd"/>
      <w:r w:rsidR="00194C7B">
        <w:rPr>
          <w:sz w:val="24"/>
          <w:szCs w:val="24"/>
        </w:rPr>
        <w:t>vinte e cinco milhões de reais) para os anos de 2019 a 2020 e R$ 20.000.000,00 ( vinte milhões de reais) para os anos de 2021 a 2025, no programa FINISA, sendo que não foram apresentadas emendas parlamentares. Cumprida a pauta, o projeto foi encaminhado</w:t>
      </w:r>
      <w:r w:rsidR="00863D88">
        <w:rPr>
          <w:sz w:val="24"/>
          <w:szCs w:val="24"/>
        </w:rPr>
        <w:t xml:space="preserve"> à Comissão de Finanças, Orçamento e Fiscalização</w:t>
      </w:r>
      <w:r w:rsidR="00194C7B">
        <w:rPr>
          <w:sz w:val="24"/>
          <w:szCs w:val="24"/>
        </w:rPr>
        <w:t xml:space="preserve"> para emissão de parecer. </w:t>
      </w:r>
    </w:p>
    <w:p w:rsidR="00194C7B" w:rsidRDefault="00194C7B" w:rsidP="00194C7B">
      <w:pPr>
        <w:jc w:val="both"/>
        <w:rPr>
          <w:sz w:val="24"/>
          <w:szCs w:val="24"/>
        </w:rPr>
      </w:pPr>
      <w:r>
        <w:rPr>
          <w:sz w:val="24"/>
          <w:szCs w:val="24"/>
        </w:rPr>
        <w:t>É o relatório, passamos à análise.</w:t>
      </w:r>
    </w:p>
    <w:p w:rsidR="00194C7B" w:rsidRDefault="00194C7B" w:rsidP="00194C7B">
      <w:pPr>
        <w:jc w:val="both"/>
        <w:rPr>
          <w:sz w:val="24"/>
          <w:szCs w:val="24"/>
        </w:rPr>
      </w:pP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VOTO DO RELATOR</w:t>
      </w:r>
      <w:r>
        <w:rPr>
          <w:sz w:val="24"/>
          <w:szCs w:val="24"/>
        </w:rPr>
        <w:t>: Com o advento da Lei de Responsabilidade Fiscal – LRF, em maio de 2001, foram criados vários dispositivos no sentido de controlar o endividamento dos entes. Um desses dispositivos é o controle da Dívida Consolidada Líquida – DCL.</w:t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DLC representa o montante da Dívida Consolidada (DC) deduzidas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disponibilidades de caixa, as aplicações financeiras e os demais haveres financeiros.</w:t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caracterizar uma Dívida Contratual, a exemplo do “FINISA”, </w:t>
      </w:r>
      <w:proofErr w:type="gramStart"/>
      <w:r>
        <w:rPr>
          <w:sz w:val="24"/>
          <w:szCs w:val="24"/>
        </w:rPr>
        <w:t>deve-se</w:t>
      </w:r>
      <w:proofErr w:type="gramEnd"/>
      <w:r>
        <w:rPr>
          <w:sz w:val="24"/>
          <w:szCs w:val="24"/>
        </w:rPr>
        <w:t xml:space="preserve"> observar os limites estabelecidos para DCL, uma vez que esta dívida compõe a DC:</w:t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</w:p>
    <w:p w:rsidR="00194C7B" w:rsidRDefault="00194C7B" w:rsidP="00194C7B">
      <w:pPr>
        <w:numPr>
          <w:ilvl w:val="0"/>
          <w:numId w:val="2"/>
        </w:numPr>
        <w:tabs>
          <w:tab w:val="left" w:pos="5040"/>
        </w:tabs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Saldo da Dívida Consolidada Líquida (DCL) não pode exceder a 120% da Receita Corrente Líquida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>;</w:t>
      </w:r>
    </w:p>
    <w:p w:rsidR="00194C7B" w:rsidRDefault="00194C7B" w:rsidP="00194C7B">
      <w:pPr>
        <w:tabs>
          <w:tab w:val="left" w:pos="5040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Operações de Crédito</w:t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Além do limite para DCL (Dívida Consolidada Liquida), a LRF também previu limitação para realização de operações de crédito:</w:t>
      </w:r>
    </w:p>
    <w:p w:rsidR="00194C7B" w:rsidRDefault="00194C7B" w:rsidP="00194C7B">
      <w:pPr>
        <w:numPr>
          <w:ilvl w:val="0"/>
          <w:numId w:val="2"/>
        </w:numPr>
        <w:tabs>
          <w:tab w:val="left" w:pos="5040"/>
        </w:tabs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montante de operações realizadas em um exercício financeiro não pode ser superior a 16% da Receita Corrente Líquida;</w:t>
      </w:r>
    </w:p>
    <w:p w:rsidR="00194C7B" w:rsidRDefault="00194C7B" w:rsidP="00194C7B">
      <w:pPr>
        <w:numPr>
          <w:ilvl w:val="0"/>
          <w:numId w:val="2"/>
        </w:numPr>
        <w:tabs>
          <w:tab w:val="left" w:pos="5040"/>
        </w:tabs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comprometimento anual para pagamento de juros e amortização da dívida não pode ser superior a 11,5% da Receita Corrente Líquida</w:t>
      </w:r>
      <w:r>
        <w:rPr>
          <w:b/>
          <w:sz w:val="24"/>
          <w:szCs w:val="24"/>
          <w:vertAlign w:val="superscript"/>
        </w:rPr>
        <w:footnoteReference w:id="2"/>
      </w:r>
      <w:r>
        <w:rPr>
          <w:b/>
          <w:sz w:val="24"/>
          <w:szCs w:val="24"/>
        </w:rPr>
        <w:t>;</w:t>
      </w:r>
    </w:p>
    <w:p w:rsidR="00194C7B" w:rsidRDefault="00194C7B" w:rsidP="00194C7B">
      <w:pPr>
        <w:tabs>
          <w:tab w:val="left" w:pos="5040"/>
        </w:tabs>
        <w:jc w:val="both"/>
        <w:rPr>
          <w:b/>
          <w:sz w:val="24"/>
          <w:szCs w:val="24"/>
          <w:u w:val="single"/>
        </w:rPr>
      </w:pPr>
    </w:p>
    <w:p w:rsidR="00194C7B" w:rsidRDefault="00194C7B" w:rsidP="00194C7B">
      <w:pPr>
        <w:tabs>
          <w:tab w:val="left" w:pos="5040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Projeção de Receita Corrente Líquida - RCL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Valor do Financiamento: R$ 45.000.000,00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R$ 25.000.000,00 até 2020 e R$ 20.000.000,00 até 2024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Prazo de Carência: 24 meses (para iniciar a amortização) e sem carência para iniciar o pagamento dos juros;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Prazo de Amortização: 120 meses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Juros: 11,3% ao ano</w:t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0615" cy="2212975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Receita Corrente Líquida</w:t>
      </w:r>
      <w:r>
        <w:rPr>
          <w:sz w:val="24"/>
          <w:szCs w:val="24"/>
        </w:rPr>
        <w:t>: projetada com base na RCL de janeiro de 2019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o crescimento anual previsto é de 1,3044817%. Cabe salientar que o crescimento da RCL do Município é bem superior a este índice, conforme já apresentado em audiências pela Prefeitura Municipal: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Limite de Operação de Crédito</w:t>
      </w:r>
      <w:r>
        <w:rPr>
          <w:sz w:val="24"/>
          <w:szCs w:val="24"/>
        </w:rPr>
        <w:t>: 16% da RCL conforme citado anteriormente. Nota-se que o valor apurado em 2019 de R$ 45.110.019,00 é superior ao valor pleiteado de R$ 45.000.000,00, logo atende ao limite estabelecido.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Limite de Amortização e Juros</w:t>
      </w:r>
      <w:r>
        <w:rPr>
          <w:sz w:val="24"/>
          <w:szCs w:val="24"/>
        </w:rPr>
        <w:t>: corresponde a 11,5% da RCL do ano. Nota-se que, mesmo considerando a dívida já existente do CPAC Mario Raiter, em nenhum ano da vigência do financiamento o município extrapolará este limite, pois o máximo de amortização será na casa de R$ 10.000.000,00, enquanto este limite gira na casa de R$ 30.000.000,00;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Juros e Amortização </w:t>
      </w:r>
      <w:proofErr w:type="gramStart"/>
      <w:r>
        <w:rPr>
          <w:b/>
          <w:sz w:val="24"/>
          <w:szCs w:val="24"/>
        </w:rPr>
        <w:t>Previstas</w:t>
      </w:r>
      <w:proofErr w:type="gramEnd"/>
      <w:r>
        <w:rPr>
          <w:sz w:val="24"/>
          <w:szCs w:val="24"/>
        </w:rPr>
        <w:t>: foram considerados somente os valores do FINISA e CPAC. Os valores a seguir, que compõe a DCL não foram considerados, uma vez que o montante destes é bem inferior ao limite da DCL que gira na casa de R$ 360.000.000,00, tais sejam:</w:t>
      </w:r>
    </w:p>
    <w:p w:rsidR="00194C7B" w:rsidRDefault="00194C7B" w:rsidP="00194C7B">
      <w:pPr>
        <w:numPr>
          <w:ilvl w:val="1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Financiamento do Parque Tecnológico, que ainda resta em torno de R$ 793.000,00 para quitação;</w:t>
      </w:r>
    </w:p>
    <w:p w:rsidR="00194C7B" w:rsidRDefault="00194C7B" w:rsidP="00194C7B">
      <w:pPr>
        <w:numPr>
          <w:ilvl w:val="1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Precatórios que atualmente gira na casa de R$ 1.250.000,00;</w:t>
      </w:r>
    </w:p>
    <w:p w:rsidR="00194C7B" w:rsidRDefault="00194C7B" w:rsidP="00194C7B">
      <w:pPr>
        <w:numPr>
          <w:ilvl w:val="1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Restos a Pagar Processados em torno de R$ 65.000,00;</w:t>
      </w:r>
    </w:p>
    <w:p w:rsidR="00194C7B" w:rsidRDefault="00194C7B" w:rsidP="00194C7B">
      <w:pPr>
        <w:numPr>
          <w:ilvl w:val="1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Dedução do Ativo Financeiro em torno de R$ 18.000.000,00;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Limite da DCL</w:t>
      </w:r>
      <w:r>
        <w:rPr>
          <w:sz w:val="24"/>
          <w:szCs w:val="24"/>
        </w:rPr>
        <w:t>: Corresponde a 120% da RCL. Verifica-se que o maior valor que a DCL pode atingir de R$ 50.000.000,00 é bem inferior à média deste limite de R$ 360.000.000,00;</w:t>
      </w:r>
    </w:p>
    <w:p w:rsidR="00194C7B" w:rsidRDefault="00194C7B" w:rsidP="00194C7B">
      <w:pPr>
        <w:tabs>
          <w:tab w:val="left" w:pos="50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IMPACTO FINANCEIRO</w:t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Constatado que o município não excederá os limites de endividamentos, passamos a analisar sua capacidade para pagamento dos juros e amortização da dívida. Primeiramente, observamos o histórico da Receita Corrente Líquida nos últimos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anos:</w:t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21865" cy="1280160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Verifica-se que o município apresenta uma média de crescimento de receita de 9,45%, apesar de em quase todos os anos este índice ser superior a 12% (a média cai pela recessão ocorrida em 2017). Desta forma realizamos a projeção a seguir considerando: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Receita Corrente Líquida crescendo na média dos últimos </w:t>
      </w:r>
      <w:proofErr w:type="gramStart"/>
      <w:r>
        <w:rPr>
          <w:b/>
          <w:sz w:val="24"/>
          <w:szCs w:val="24"/>
        </w:rPr>
        <w:t>5</w:t>
      </w:r>
      <w:proofErr w:type="gramEnd"/>
      <w:r>
        <w:rPr>
          <w:b/>
          <w:sz w:val="24"/>
          <w:szCs w:val="24"/>
        </w:rPr>
        <w:t xml:space="preserve"> anos, ou seja, 9,45%;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Despesas com Pessoal limitadas na projeção de índice constitucional estipulados, haja vista que todo ente público precisa controlar o limite prudencial de 51,3% da RCL com Pessoal;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Despesas de Custeio crescendo na média do crescimento da receita de 9,45%;</w:t>
      </w:r>
    </w:p>
    <w:p w:rsidR="00194C7B" w:rsidRDefault="00194C7B" w:rsidP="00194C7B">
      <w:pPr>
        <w:numPr>
          <w:ilvl w:val="0"/>
          <w:numId w:val="3"/>
        </w:numPr>
        <w:tabs>
          <w:tab w:val="left" w:pos="5040"/>
        </w:tabs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Valores projetados para amortização e juros citados anteriormente;</w:t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Com isto chega-se aos seguintes valores usando como base os valores (R$) executados em 2018 para Receita Arrecada e Despesa Liquidada:</w:t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190615" cy="217614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Confrontando a Receita Corrente Líquida menos a despesa projetada para Pessoal, menos a despesa projetada para Custeio e ainda os valores previstos para amortização e juros das dívidas existentes e mais o FINISA, ainda assim em todos os anos a Prefeitura Municipal teria a disposição recursos para a realização de investimentos. Ou seja, seria possível a amortização do financiamento sem o comprometimento do funcionamento dos serviços públicos.</w:t>
      </w:r>
    </w:p>
    <w:p w:rsidR="00194C7B" w:rsidRDefault="00194C7B" w:rsidP="00194C7B">
      <w:pPr>
        <w:tabs>
          <w:tab w:val="left" w:pos="5040"/>
        </w:tabs>
        <w:jc w:val="both"/>
        <w:rPr>
          <w:sz w:val="24"/>
          <w:szCs w:val="24"/>
        </w:rPr>
      </w:pPr>
    </w:p>
    <w:tbl>
      <w:tblPr>
        <w:tblStyle w:val="Tabelacomgrade"/>
        <w:tblW w:w="9097" w:type="dxa"/>
        <w:tblCellMar>
          <w:top w:w="57" w:type="dxa"/>
          <w:bottom w:w="57" w:type="dxa"/>
        </w:tblCellMar>
        <w:tblLook w:val="04A0"/>
      </w:tblPr>
      <w:tblGrid>
        <w:gridCol w:w="9097"/>
      </w:tblGrid>
      <w:tr w:rsidR="00194C7B" w:rsidTr="00194C7B">
        <w:trPr>
          <w:trHeight w:val="1865"/>
        </w:trPr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C7B" w:rsidRDefault="00194C7B">
            <w:pPr>
              <w:tabs>
                <w:tab w:val="left" w:pos="504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Verifica-se que nenhum dos limites determinados pela legislação de financiamentos (operações de crédito) será ultrapassado. Nota-se pela análise que impacto financeiro que é possível a Prefeitura Municipal honrar com os pagamentos de amortização e juros, manter as despesas de folha e custeio e ainda com saldo disponível para a realização de investimentos.</w:t>
            </w:r>
          </w:p>
          <w:p w:rsidR="00194C7B" w:rsidRDefault="00194C7B">
            <w:pPr>
              <w:tabs>
                <w:tab w:val="left" w:pos="5040"/>
              </w:tabs>
              <w:spacing w:after="20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Desta forma, concluímos que o financiamento, dentro dos termos apresentados é viável para fins de endividamento e capacidade financeira. </w:t>
            </w:r>
          </w:p>
        </w:tc>
      </w:tr>
    </w:tbl>
    <w:p w:rsidR="004F5415" w:rsidRPr="00194C7B" w:rsidRDefault="004F5415" w:rsidP="004F5415">
      <w:pPr>
        <w:jc w:val="both"/>
        <w:rPr>
          <w:bCs/>
          <w:iCs/>
          <w:sz w:val="24"/>
          <w:szCs w:val="24"/>
        </w:rPr>
      </w:pPr>
    </w:p>
    <w:p w:rsidR="00152423" w:rsidRDefault="00152423" w:rsidP="00C22CBB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94C7B">
        <w:rPr>
          <w:rFonts w:ascii="Times New Roman" w:hAnsi="Times New Roman"/>
          <w:bCs/>
          <w:sz w:val="24"/>
          <w:szCs w:val="24"/>
        </w:rPr>
        <w:t>Após análise do Projeto de Lei</w:t>
      </w:r>
      <w:r w:rsidR="004F5415" w:rsidRPr="00194C7B">
        <w:rPr>
          <w:rFonts w:ascii="Times New Roman" w:hAnsi="Times New Roman"/>
          <w:bCs/>
          <w:sz w:val="24"/>
          <w:szCs w:val="24"/>
        </w:rPr>
        <w:t xml:space="preserve"> </w:t>
      </w:r>
      <w:r w:rsidR="00194C7B">
        <w:rPr>
          <w:rFonts w:ascii="Times New Roman" w:hAnsi="Times New Roman"/>
          <w:bCs/>
          <w:sz w:val="24"/>
          <w:szCs w:val="24"/>
        </w:rPr>
        <w:t>em apreço, verifico</w:t>
      </w:r>
      <w:r w:rsidRPr="00194C7B">
        <w:rPr>
          <w:rFonts w:ascii="Times New Roman" w:hAnsi="Times New Roman"/>
          <w:bCs/>
          <w:sz w:val="24"/>
          <w:szCs w:val="24"/>
        </w:rPr>
        <w:t xml:space="preserve"> que o mesmo atende os requisitos </w:t>
      </w:r>
      <w:r w:rsidR="00194C7B">
        <w:rPr>
          <w:rFonts w:ascii="Times New Roman" w:hAnsi="Times New Roman"/>
          <w:bCs/>
          <w:sz w:val="24"/>
          <w:szCs w:val="24"/>
        </w:rPr>
        <w:t>necessários para tramitação</w:t>
      </w:r>
      <w:r w:rsidR="00656031" w:rsidRPr="00194C7B">
        <w:rPr>
          <w:rFonts w:ascii="Times New Roman" w:hAnsi="Times New Roman"/>
          <w:bCs/>
          <w:sz w:val="24"/>
          <w:szCs w:val="24"/>
        </w:rPr>
        <w:t xml:space="preserve">. Portanto, </w:t>
      </w:r>
      <w:r w:rsidR="00C56927" w:rsidRPr="00194C7B">
        <w:rPr>
          <w:rFonts w:ascii="Times New Roman" w:hAnsi="Times New Roman"/>
          <w:bCs/>
          <w:sz w:val="24"/>
          <w:szCs w:val="24"/>
        </w:rPr>
        <w:t>este</w:t>
      </w:r>
      <w:r w:rsidRPr="00194C7B">
        <w:rPr>
          <w:rFonts w:ascii="Times New Roman" w:hAnsi="Times New Roman"/>
          <w:bCs/>
          <w:sz w:val="24"/>
          <w:szCs w:val="24"/>
        </w:rPr>
        <w:t xml:space="preserve"> Relator é favorável a sua tramitação em Plenário. </w:t>
      </w:r>
    </w:p>
    <w:p w:rsidR="00194C7B" w:rsidRDefault="00194C7B" w:rsidP="00C22CBB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C2713" w:rsidRDefault="00DC2713" w:rsidP="00C22CBB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C2713" w:rsidRDefault="00DC2713" w:rsidP="00C22CBB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C2713" w:rsidRPr="00194C7B" w:rsidRDefault="00DC2713" w:rsidP="00C22CBB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47512" w:rsidRPr="00194C7B" w:rsidRDefault="00047512" w:rsidP="00426A2B">
      <w:pPr>
        <w:jc w:val="both"/>
        <w:rPr>
          <w:bCs/>
          <w:sz w:val="24"/>
          <w:szCs w:val="24"/>
          <w:u w:val="single"/>
        </w:rPr>
      </w:pPr>
    </w:p>
    <w:p w:rsidR="00660E6F" w:rsidRPr="00194C7B" w:rsidRDefault="00660E6F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114EF" w:rsidRPr="00194C7B" w:rsidTr="00194C7B">
        <w:trPr>
          <w:trHeight w:val="548"/>
          <w:jc w:val="center"/>
        </w:trPr>
        <w:tc>
          <w:tcPr>
            <w:tcW w:w="2828" w:type="dxa"/>
            <w:hideMark/>
          </w:tcPr>
          <w:p w:rsidR="00A114EF" w:rsidRPr="00194C7B" w:rsidRDefault="00A114EF" w:rsidP="002D56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4C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hideMark/>
          </w:tcPr>
          <w:p w:rsidR="00A114EF" w:rsidRPr="00194C7B" w:rsidRDefault="00A114EF" w:rsidP="002D56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4C7B">
              <w:rPr>
                <w:b/>
                <w:sz w:val="24"/>
                <w:szCs w:val="24"/>
              </w:rPr>
              <w:t xml:space="preserve">     </w:t>
            </w:r>
            <w:r w:rsidR="00C56927" w:rsidRPr="00194C7B">
              <w:rPr>
                <w:b/>
                <w:sz w:val="24"/>
                <w:szCs w:val="24"/>
              </w:rPr>
              <w:t>NEREU BRESOLIN</w:t>
            </w:r>
          </w:p>
          <w:p w:rsidR="00A114EF" w:rsidRPr="00194C7B" w:rsidRDefault="00A114EF" w:rsidP="002D5663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94C7B">
              <w:rPr>
                <w:b/>
                <w:sz w:val="24"/>
                <w:szCs w:val="24"/>
              </w:rPr>
              <w:t xml:space="preserve">   </w:t>
            </w:r>
            <w:r w:rsidR="00C56927" w:rsidRPr="00194C7B">
              <w:rPr>
                <w:b/>
                <w:sz w:val="24"/>
                <w:szCs w:val="24"/>
              </w:rPr>
              <w:t>Vice-Presidente</w:t>
            </w:r>
            <w:r w:rsidR="00A07BD5" w:rsidRPr="00194C7B">
              <w:rPr>
                <w:b/>
                <w:sz w:val="24"/>
                <w:szCs w:val="24"/>
              </w:rPr>
              <w:t>/</w:t>
            </w:r>
            <w:r w:rsidRPr="00194C7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114EF" w:rsidRPr="00194C7B" w:rsidRDefault="00A114EF" w:rsidP="002D56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D7A91" w:rsidRPr="00DB5D46" w:rsidRDefault="008D7A91">
      <w:pPr>
        <w:rPr>
          <w:sz w:val="24"/>
          <w:szCs w:val="24"/>
        </w:rPr>
      </w:pPr>
    </w:p>
    <w:sectPr w:rsidR="008D7A91" w:rsidRPr="00DB5D46" w:rsidSect="00460D60">
      <w:pgSz w:w="11906" w:h="16838"/>
      <w:pgMar w:top="269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43" w:rsidRDefault="00813143" w:rsidP="00194C7B">
      <w:r>
        <w:separator/>
      </w:r>
    </w:p>
  </w:endnote>
  <w:endnote w:type="continuationSeparator" w:id="0">
    <w:p w:rsidR="00813143" w:rsidRDefault="00813143" w:rsidP="0019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Fashion Fetish">
    <w:charset w:val="81"/>
    <w:family w:val="auto"/>
    <w:pitch w:val="variable"/>
    <w:sig w:usb0="A00006FF" w:usb1="490FFDFF" w:usb2="00000010" w:usb3="00000000" w:csb0="001E01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43" w:rsidRDefault="00813143" w:rsidP="00194C7B">
      <w:r>
        <w:separator/>
      </w:r>
    </w:p>
  </w:footnote>
  <w:footnote w:type="continuationSeparator" w:id="0">
    <w:p w:rsidR="00813143" w:rsidRDefault="00813143" w:rsidP="00194C7B">
      <w:r>
        <w:continuationSeparator/>
      </w:r>
    </w:p>
  </w:footnote>
  <w:footnote w:id="1">
    <w:p w:rsidR="00194C7B" w:rsidRDefault="00194C7B" w:rsidP="00194C7B">
      <w:pPr>
        <w:pStyle w:val="Textodenotaderodap"/>
      </w:pPr>
    </w:p>
  </w:footnote>
  <w:footnote w:id="2">
    <w:p w:rsidR="00194C7B" w:rsidRDefault="00194C7B" w:rsidP="00194C7B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FFC"/>
    <w:multiLevelType w:val="hybridMultilevel"/>
    <w:tmpl w:val="7A4AD43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A161F"/>
    <w:multiLevelType w:val="hybridMultilevel"/>
    <w:tmpl w:val="2766D79E"/>
    <w:lvl w:ilvl="0" w:tplc="CA049EA8">
      <w:numFmt w:val="bullet"/>
      <w:lvlText w:val="•"/>
      <w:lvlJc w:val="left"/>
      <w:pPr>
        <w:ind w:left="1416" w:hanging="708"/>
      </w:pPr>
      <w:rPr>
        <w:rFonts w:ascii="Humanst521 BT" w:eastAsia="Fashion Fetish" w:hAnsi="Humanst521 BT" w:cstheme="minorBidi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A2B"/>
    <w:rsid w:val="00026AD5"/>
    <w:rsid w:val="00047512"/>
    <w:rsid w:val="00073455"/>
    <w:rsid w:val="00076BD2"/>
    <w:rsid w:val="00097065"/>
    <w:rsid w:val="000A6693"/>
    <w:rsid w:val="00102934"/>
    <w:rsid w:val="001078BC"/>
    <w:rsid w:val="001203DD"/>
    <w:rsid w:val="00126F15"/>
    <w:rsid w:val="0013409C"/>
    <w:rsid w:val="001504AA"/>
    <w:rsid w:val="00152423"/>
    <w:rsid w:val="001879BE"/>
    <w:rsid w:val="00191540"/>
    <w:rsid w:val="00194C7B"/>
    <w:rsid w:val="001A4967"/>
    <w:rsid w:val="001E3C35"/>
    <w:rsid w:val="00216C19"/>
    <w:rsid w:val="00272D15"/>
    <w:rsid w:val="002801BD"/>
    <w:rsid w:val="00291277"/>
    <w:rsid w:val="002A7C26"/>
    <w:rsid w:val="002C6E03"/>
    <w:rsid w:val="002D5663"/>
    <w:rsid w:val="00303F07"/>
    <w:rsid w:val="00310085"/>
    <w:rsid w:val="003125FB"/>
    <w:rsid w:val="00320F46"/>
    <w:rsid w:val="00350CAC"/>
    <w:rsid w:val="003A6B43"/>
    <w:rsid w:val="003C766A"/>
    <w:rsid w:val="003D640F"/>
    <w:rsid w:val="00426A2B"/>
    <w:rsid w:val="00454036"/>
    <w:rsid w:val="0045607B"/>
    <w:rsid w:val="00460D60"/>
    <w:rsid w:val="0047730A"/>
    <w:rsid w:val="00481D51"/>
    <w:rsid w:val="004D2850"/>
    <w:rsid w:val="004F5415"/>
    <w:rsid w:val="00502B34"/>
    <w:rsid w:val="00532804"/>
    <w:rsid w:val="00532906"/>
    <w:rsid w:val="00543BC3"/>
    <w:rsid w:val="00554383"/>
    <w:rsid w:val="00650AC7"/>
    <w:rsid w:val="00651BEF"/>
    <w:rsid w:val="00656031"/>
    <w:rsid w:val="00660E6F"/>
    <w:rsid w:val="00663705"/>
    <w:rsid w:val="0066543D"/>
    <w:rsid w:val="006E719A"/>
    <w:rsid w:val="007E329C"/>
    <w:rsid w:val="00813143"/>
    <w:rsid w:val="00863D88"/>
    <w:rsid w:val="0087774B"/>
    <w:rsid w:val="008D7A91"/>
    <w:rsid w:val="008F1F7C"/>
    <w:rsid w:val="009F6322"/>
    <w:rsid w:val="00A07BD5"/>
    <w:rsid w:val="00A114EF"/>
    <w:rsid w:val="00A71149"/>
    <w:rsid w:val="00A87306"/>
    <w:rsid w:val="00AC1E72"/>
    <w:rsid w:val="00AC350F"/>
    <w:rsid w:val="00AD21C7"/>
    <w:rsid w:val="00AE6D1E"/>
    <w:rsid w:val="00AF446A"/>
    <w:rsid w:val="00AF5DBE"/>
    <w:rsid w:val="00B50DBE"/>
    <w:rsid w:val="00B51B5A"/>
    <w:rsid w:val="00BF5761"/>
    <w:rsid w:val="00C22CBB"/>
    <w:rsid w:val="00C36952"/>
    <w:rsid w:val="00C56927"/>
    <w:rsid w:val="00C95745"/>
    <w:rsid w:val="00CB4547"/>
    <w:rsid w:val="00D024F8"/>
    <w:rsid w:val="00D576F9"/>
    <w:rsid w:val="00DB5D46"/>
    <w:rsid w:val="00DB749E"/>
    <w:rsid w:val="00DC2713"/>
    <w:rsid w:val="00DC598C"/>
    <w:rsid w:val="00E11C3E"/>
    <w:rsid w:val="00E6717D"/>
    <w:rsid w:val="00E707A8"/>
    <w:rsid w:val="00EE6398"/>
    <w:rsid w:val="00F7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4C7B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4C7B"/>
    <w:rPr>
      <w:sz w:val="20"/>
      <w:szCs w:val="20"/>
    </w:rPr>
  </w:style>
  <w:style w:type="table" w:styleId="Tabelacomgrade">
    <w:name w:val="Table Grid"/>
    <w:basedOn w:val="Tabelanormal"/>
    <w:uiPriority w:val="59"/>
    <w:rsid w:val="00194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C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4C7B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4C7B"/>
    <w:rPr>
      <w:sz w:val="20"/>
      <w:szCs w:val="20"/>
    </w:rPr>
  </w:style>
  <w:style w:type="table" w:styleId="Tabelacomgrade">
    <w:name w:val="Table Grid"/>
    <w:basedOn w:val="Tabelanormal"/>
    <w:uiPriority w:val="59"/>
    <w:rsid w:val="00194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C7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993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Beloni</cp:lastModifiedBy>
  <cp:revision>9</cp:revision>
  <cp:lastPrinted>2019-04-12T13:35:00Z</cp:lastPrinted>
  <dcterms:created xsi:type="dcterms:W3CDTF">2019-04-04T11:33:00Z</dcterms:created>
  <dcterms:modified xsi:type="dcterms:W3CDTF">2019-04-12T13:36:00Z</dcterms:modified>
</cp:coreProperties>
</file>